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66009B97"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3D7BF7">
        <w:rPr>
          <w:rFonts w:ascii="Arial" w:hAnsi="Arial" w:cs="Arial"/>
          <w:b/>
          <w:bCs/>
          <w:sz w:val="20"/>
          <w:szCs w:val="20"/>
        </w:rPr>
        <w:t>94</w:t>
      </w:r>
      <w:r w:rsidR="0043481C">
        <w:rPr>
          <w:rFonts w:ascii="Arial" w:hAnsi="Arial" w:cs="Arial"/>
          <w:b/>
          <w:bCs/>
          <w:sz w:val="20"/>
          <w:szCs w:val="20"/>
        </w:rPr>
        <w:t>bis</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Pr="00875C81">
        <w:rPr>
          <w:rFonts w:ascii="Arial" w:hAnsi="Arial" w:cs="Arial"/>
          <w:b/>
          <w:bCs/>
          <w:sz w:val="20"/>
          <w:szCs w:val="20"/>
        </w:rPr>
        <w:t>R1-</w:t>
      </w:r>
      <w:r w:rsidR="00875C81">
        <w:rPr>
          <w:rFonts w:ascii="Arial" w:hAnsi="Arial" w:cs="Arial"/>
          <w:b/>
          <w:bCs/>
          <w:sz w:val="20"/>
          <w:szCs w:val="20"/>
        </w:rPr>
        <w:t>1811121</w:t>
      </w:r>
    </w:p>
    <w:p w14:paraId="2A527F7E" w14:textId="276D5547" w:rsidR="00B11415" w:rsidRPr="00B11415" w:rsidRDefault="0043481C"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Chengdu, China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October 8</w:t>
      </w:r>
      <w:r w:rsidR="003D7BF7" w:rsidRPr="003D7BF7">
        <w:rPr>
          <w:rFonts w:ascii="Arial" w:eastAsia="MS Mincho" w:hAnsi="Arial" w:cs="Arial"/>
          <w:b/>
          <w:bCs/>
          <w:sz w:val="20"/>
          <w:szCs w:val="20"/>
          <w:vertAlign w:val="superscript"/>
          <w:lang w:eastAsia="ja-JP"/>
        </w:rPr>
        <w:t>th</w:t>
      </w:r>
      <w:r w:rsidR="003D7BF7">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624006D6"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3D7BF7">
        <w:rPr>
          <w:sz w:val="22"/>
          <w:szCs w:val="22"/>
        </w:rPr>
        <w:t>2.2</w:t>
      </w:r>
      <w:r w:rsidR="003F2D64">
        <w:rPr>
          <w:sz w:val="22"/>
          <w:szCs w:val="22"/>
        </w:rPr>
        <w:t>.3</w:t>
      </w:r>
      <w:r w:rsidR="00A91F87">
        <w:rPr>
          <w:sz w:val="22"/>
          <w:szCs w:val="22"/>
        </w:rPr>
        <w:t>.2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8E690D9" w:rsidR="008E401E" w:rsidRDefault="003D3C45" w:rsidP="00311702">
      <w:pPr>
        <w:pStyle w:val="3GPPHeader"/>
        <w:rPr>
          <w:sz w:val="22"/>
          <w:szCs w:val="22"/>
        </w:rPr>
      </w:pPr>
      <w:r w:rsidRPr="00315C6E">
        <w:rPr>
          <w:sz w:val="22"/>
          <w:szCs w:val="22"/>
        </w:rPr>
        <w:t>Title:</w:t>
      </w:r>
      <w:r w:rsidR="00E90E49" w:rsidRPr="00315C6E">
        <w:rPr>
          <w:sz w:val="22"/>
          <w:szCs w:val="22"/>
        </w:rPr>
        <w:tab/>
      </w:r>
      <w:r w:rsidR="003D7BF7">
        <w:rPr>
          <w:sz w:val="22"/>
          <w:szCs w:val="22"/>
        </w:rPr>
        <w:t>On UL Signals and Channels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0" w:name="_Ref525768895"/>
      <w:r w:rsidRPr="00315C6E">
        <w:t>Introduction</w:t>
      </w:r>
      <w:bookmarkEnd w:id="0"/>
    </w:p>
    <w:p w14:paraId="4C376F6E" w14:textId="77777777" w:rsidR="006C0DD5" w:rsidRDefault="006C0DD5" w:rsidP="009A28B6">
      <w:pPr>
        <w:jc w:val="both"/>
      </w:pPr>
      <w:r>
        <w:t>LTE based unlicensed operations, i.e. LAA/</w:t>
      </w:r>
      <w:proofErr w:type="spellStart"/>
      <w:r>
        <w:t>eLAA</w:t>
      </w:r>
      <w:proofErr w:type="spellEnd"/>
      <w:r>
        <w:t xml:space="preserve">, were introduced starting from Rel-13. A Rel-15 study item </w:t>
      </w:r>
      <w:r>
        <w:fldChar w:fldCharType="begin"/>
      </w:r>
      <w:r>
        <w:instrText xml:space="preserve"> REF _Ref506552387 \r \h </w:instrText>
      </w:r>
      <w:r>
        <w:fldChar w:fldCharType="separate"/>
      </w:r>
      <w:r>
        <w:t>[1]</w:t>
      </w:r>
      <w:r>
        <w:fldChar w:fldCharType="end"/>
      </w:r>
      <w:r>
        <w:t xml:space="preserve"> on NR-based unlicensed access has been approved to study the solutions applicable to potential spectrum candidates both below and above 6Ghz, as well as various deployment scenarios, including CA or DC based LAA and standalone based unlicensed operations. </w:t>
      </w:r>
    </w:p>
    <w:p w14:paraId="62A8CC23" w14:textId="77777777" w:rsidR="006C0DD5" w:rsidRDefault="006C0DD5" w:rsidP="009A28B6">
      <w:pPr>
        <w:jc w:val="both"/>
      </w:pPr>
    </w:p>
    <w:p w14:paraId="593C00FF" w14:textId="1F70EC0C" w:rsidR="006C3EA8" w:rsidRDefault="00F56CD5" w:rsidP="009A28B6">
      <w:pPr>
        <w:jc w:val="both"/>
      </w:pPr>
      <w:r>
        <w:t>In RAN1 #93</w:t>
      </w:r>
      <w:r w:rsidR="006C3EA8">
        <w:t>, it was agreed that</w:t>
      </w:r>
      <w:r w:rsidR="000D3138">
        <w:t xml:space="preserve"> </w:t>
      </w:r>
      <w:r w:rsidR="000D3138">
        <w:fldChar w:fldCharType="begin"/>
      </w:r>
      <w:r w:rsidR="000D3138">
        <w:instrText xml:space="preserve"> REF _Ref513812566 \n \h </w:instrText>
      </w:r>
      <w:r w:rsidR="000D3138">
        <w:fldChar w:fldCharType="separate"/>
      </w:r>
      <w:r w:rsidR="000D3138">
        <w:t>[2]</w:t>
      </w:r>
      <w:r w:rsidR="000D3138">
        <w:fldChar w:fldCharType="end"/>
      </w:r>
      <w:r w:rsidR="006C3EA8">
        <w:t>:</w:t>
      </w:r>
    </w:p>
    <w:p w14:paraId="7F6A2143" w14:textId="77777777" w:rsidR="009464BA" w:rsidRDefault="009464BA" w:rsidP="009464BA">
      <w:pPr>
        <w:rPr>
          <w:lang w:eastAsia="x-none"/>
        </w:rPr>
      </w:pPr>
    </w:p>
    <w:p w14:paraId="2F6B0052" w14:textId="77777777" w:rsidR="00F56CD5" w:rsidRPr="000E6115" w:rsidRDefault="00F56CD5" w:rsidP="00F56CD5">
      <w:pPr>
        <w:rPr>
          <w:highlight w:val="green"/>
          <w:lang w:eastAsia="x-none"/>
        </w:rPr>
      </w:pPr>
      <w:r w:rsidRPr="000E6115">
        <w:rPr>
          <w:highlight w:val="green"/>
          <w:lang w:eastAsia="x-none"/>
        </w:rPr>
        <w:t>Agreement:</w:t>
      </w:r>
    </w:p>
    <w:p w14:paraId="36F81073" w14:textId="77777777" w:rsidR="00F56CD5" w:rsidRDefault="00F56CD5" w:rsidP="00F56CD5">
      <w:pPr>
        <w:numPr>
          <w:ilvl w:val="0"/>
          <w:numId w:val="34"/>
        </w:numPr>
        <w:rPr>
          <w:lang w:eastAsia="x-none"/>
        </w:rPr>
      </w:pPr>
      <w:r>
        <w:rPr>
          <w:lang w:eastAsia="x-none"/>
        </w:rPr>
        <w:t xml:space="preserve">Support for Rel-15 NR PRACH formats can be considered. Exclusion of the support of certain formats is to be identified. </w:t>
      </w:r>
    </w:p>
    <w:p w14:paraId="659BCA44" w14:textId="77777777" w:rsidR="00F56CD5" w:rsidRDefault="00F56CD5" w:rsidP="00F56CD5">
      <w:pPr>
        <w:numPr>
          <w:ilvl w:val="1"/>
          <w:numId w:val="34"/>
        </w:numPr>
        <w:rPr>
          <w:lang w:eastAsia="x-none"/>
        </w:rPr>
      </w:pPr>
      <w:r>
        <w:rPr>
          <w:lang w:eastAsia="x-none"/>
        </w:rPr>
        <w:t xml:space="preserve">Note: It is RAN1’s understanding that certain formats do not meet the minimum bandwidth requirement by regulation. </w:t>
      </w:r>
    </w:p>
    <w:p w14:paraId="24AB7F47" w14:textId="77777777" w:rsidR="00F56CD5" w:rsidRDefault="00F56CD5" w:rsidP="00F56CD5">
      <w:pPr>
        <w:numPr>
          <w:ilvl w:val="0"/>
          <w:numId w:val="34"/>
        </w:numPr>
        <w:rPr>
          <w:lang w:eastAsia="x-none"/>
        </w:rPr>
      </w:pPr>
      <w:r>
        <w:rPr>
          <w:lang w:eastAsia="x-none"/>
        </w:rPr>
        <w:t xml:space="preserve">It is identified that interlaced based PRACH can be beneficial. </w:t>
      </w:r>
    </w:p>
    <w:p w14:paraId="623E81D6" w14:textId="77777777" w:rsidR="00F56CD5" w:rsidRDefault="00F56CD5" w:rsidP="00F56CD5">
      <w:pPr>
        <w:numPr>
          <w:ilvl w:val="0"/>
          <w:numId w:val="34"/>
        </w:numPr>
        <w:rPr>
          <w:lang w:eastAsia="x-none"/>
        </w:rPr>
      </w:pPr>
      <w:r>
        <w:rPr>
          <w:lang w:eastAsia="x-none"/>
        </w:rPr>
        <w:t>The following aspects can be considered for Interlace waveform based PRACH design for 4-step random access:</w:t>
      </w:r>
    </w:p>
    <w:p w14:paraId="1307CDAE" w14:textId="77777777" w:rsidR="00F56CD5" w:rsidRDefault="00F56CD5" w:rsidP="00F56CD5">
      <w:pPr>
        <w:numPr>
          <w:ilvl w:val="1"/>
          <w:numId w:val="34"/>
        </w:numPr>
        <w:rPr>
          <w:lang w:eastAsia="x-none"/>
        </w:rPr>
      </w:pPr>
      <w:r>
        <w:rPr>
          <w:lang w:eastAsia="x-none"/>
        </w:rPr>
        <w:t>Interlacing based on PRB or REs</w:t>
      </w:r>
    </w:p>
    <w:p w14:paraId="2D6A4502" w14:textId="77777777" w:rsidR="00F56CD5" w:rsidRDefault="00F56CD5" w:rsidP="00F56CD5">
      <w:pPr>
        <w:numPr>
          <w:ilvl w:val="1"/>
          <w:numId w:val="34"/>
        </w:numPr>
        <w:rPr>
          <w:lang w:eastAsia="x-none"/>
        </w:rPr>
      </w:pPr>
      <w:r>
        <w:rPr>
          <w:lang w:eastAsia="x-none"/>
        </w:rPr>
        <w:t>Targeted cell sizes</w:t>
      </w:r>
    </w:p>
    <w:p w14:paraId="60E62B6D" w14:textId="77777777" w:rsidR="00F56CD5" w:rsidRDefault="00F56CD5" w:rsidP="00F56CD5">
      <w:pPr>
        <w:numPr>
          <w:ilvl w:val="1"/>
          <w:numId w:val="34"/>
        </w:numPr>
        <w:rPr>
          <w:lang w:eastAsia="x-none"/>
        </w:rPr>
      </w:pPr>
      <w:r>
        <w:rPr>
          <w:lang w:eastAsia="x-none"/>
        </w:rPr>
        <w:t>Targeted PRACH capacity</w:t>
      </w:r>
    </w:p>
    <w:p w14:paraId="791CDC4C" w14:textId="77777777" w:rsidR="00F56CD5" w:rsidRDefault="00F56CD5" w:rsidP="00F56CD5">
      <w:pPr>
        <w:numPr>
          <w:ilvl w:val="1"/>
          <w:numId w:val="34"/>
        </w:numPr>
        <w:rPr>
          <w:lang w:eastAsia="x-none"/>
        </w:rPr>
      </w:pPr>
      <w:r>
        <w:rPr>
          <w:lang w:eastAsia="x-none"/>
        </w:rPr>
        <w:t>Targeted false alarm and detection rates</w:t>
      </w:r>
    </w:p>
    <w:p w14:paraId="633C386F" w14:textId="77777777" w:rsidR="00F56CD5" w:rsidRDefault="00F56CD5" w:rsidP="00F56CD5">
      <w:pPr>
        <w:numPr>
          <w:ilvl w:val="1"/>
          <w:numId w:val="34"/>
        </w:numPr>
        <w:rPr>
          <w:lang w:eastAsia="x-none"/>
        </w:rPr>
      </w:pPr>
      <w:r>
        <w:rPr>
          <w:lang w:eastAsia="x-none"/>
        </w:rPr>
        <w:t>Targeted timing estimation accuracy</w:t>
      </w:r>
    </w:p>
    <w:p w14:paraId="184DD8A9" w14:textId="77777777" w:rsidR="00F56CD5" w:rsidRDefault="00F56CD5" w:rsidP="00F56CD5">
      <w:pPr>
        <w:numPr>
          <w:ilvl w:val="1"/>
          <w:numId w:val="34"/>
        </w:numPr>
        <w:rPr>
          <w:lang w:eastAsia="x-none"/>
        </w:rPr>
      </w:pPr>
      <w:r>
        <w:rPr>
          <w:lang w:eastAsia="x-none"/>
        </w:rPr>
        <w:t>Number of formats</w:t>
      </w:r>
    </w:p>
    <w:p w14:paraId="7D7D992B" w14:textId="77777777" w:rsidR="00F56CD5" w:rsidRDefault="00F56CD5" w:rsidP="00F56CD5">
      <w:pPr>
        <w:numPr>
          <w:ilvl w:val="1"/>
          <w:numId w:val="34"/>
        </w:numPr>
        <w:rPr>
          <w:lang w:eastAsia="x-none"/>
        </w:rPr>
      </w:pPr>
      <w:r>
        <w:rPr>
          <w:lang w:eastAsia="x-none"/>
        </w:rPr>
        <w:t>Multiplexing with other channels such as block interlaced PUCCH and PUSCH</w:t>
      </w:r>
    </w:p>
    <w:p w14:paraId="4758A97D" w14:textId="77777777" w:rsidR="00F56CD5" w:rsidRDefault="00F56CD5" w:rsidP="009464BA">
      <w:pPr>
        <w:rPr>
          <w:lang w:eastAsia="x-none"/>
        </w:rPr>
      </w:pPr>
    </w:p>
    <w:p w14:paraId="1BD05BFE" w14:textId="399CB414" w:rsidR="00005F08" w:rsidRDefault="00005F08" w:rsidP="009464BA">
      <w:pPr>
        <w:rPr>
          <w:lang w:eastAsia="x-none"/>
        </w:rPr>
      </w:pPr>
      <w:r>
        <w:rPr>
          <w:lang w:eastAsia="x-none"/>
        </w:rPr>
        <w:t xml:space="preserve">In RAN1 #94, it was further agreed that </w:t>
      </w:r>
    </w:p>
    <w:p w14:paraId="5482D11A" w14:textId="77777777" w:rsidR="00005F08" w:rsidRDefault="00005F08" w:rsidP="009464BA">
      <w:pPr>
        <w:rPr>
          <w:lang w:eastAsia="x-none"/>
        </w:rPr>
      </w:pPr>
    </w:p>
    <w:p w14:paraId="096B904F" w14:textId="77777777" w:rsidR="00DC39C8" w:rsidRDefault="00DC39C8" w:rsidP="00DC39C8">
      <w:r w:rsidRPr="00D73789">
        <w:rPr>
          <w:highlight w:val="green"/>
        </w:rPr>
        <w:t>Agreement:</w:t>
      </w:r>
    </w:p>
    <w:p w14:paraId="7E8BD706" w14:textId="77777777" w:rsidR="00DC39C8" w:rsidRDefault="00DC39C8" w:rsidP="00DC39C8">
      <w:pPr>
        <w:numPr>
          <w:ilvl w:val="0"/>
          <w:numId w:val="34"/>
        </w:num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5C50773" w14:textId="77777777" w:rsidR="00DC39C8" w:rsidRDefault="00DC39C8" w:rsidP="00DC39C8">
      <w:pPr>
        <w:numPr>
          <w:ilvl w:val="1"/>
          <w:numId w:val="34"/>
        </w:numPr>
        <w:rPr>
          <w:lang w:eastAsia="x-none"/>
        </w:rPr>
      </w:pPr>
      <w:r>
        <w:rPr>
          <w:lang w:eastAsia="x-none"/>
        </w:rPr>
        <w:t>Note: This is only from a user-multiplexing perspective. Other aspects of PRACH design need to be considered, i.e., timing estimation accuracy, miss detection rate, PAPR, RACH capacity, transmission power</w:t>
      </w:r>
    </w:p>
    <w:p w14:paraId="02BBB3CD" w14:textId="77777777" w:rsidR="00DC39C8" w:rsidRDefault="00DC39C8" w:rsidP="00DC39C8">
      <w:pPr>
        <w:numPr>
          <w:ilvl w:val="0"/>
          <w:numId w:val="34"/>
        </w:numPr>
        <w:rPr>
          <w:lang w:eastAsia="x-none"/>
        </w:rPr>
      </w:pPr>
      <w:r>
        <w:rPr>
          <w:lang w:eastAsia="x-none"/>
        </w:rPr>
        <w:t>For scenarios in which a contiguous allocation for PUSCH and PUCCH is used, it is beneficial to use contiguous resource allocation for PRACH</w:t>
      </w:r>
    </w:p>
    <w:p w14:paraId="75ED7DF6" w14:textId="77777777" w:rsidR="00DC39C8" w:rsidRDefault="00DC39C8" w:rsidP="00DC39C8">
      <w:pPr>
        <w:numPr>
          <w:ilvl w:val="0"/>
          <w:numId w:val="34"/>
        </w:numPr>
        <w:rPr>
          <w:lang w:eastAsia="x-none"/>
        </w:rPr>
      </w:pPr>
      <w:r>
        <w:rPr>
          <w:lang w:eastAsia="x-none"/>
        </w:rPr>
        <w:t xml:space="preserve">FFS: Potential LBT blocking due to TA difference between </w:t>
      </w:r>
      <w:proofErr w:type="spellStart"/>
      <w:r>
        <w:rPr>
          <w:lang w:eastAsia="x-none"/>
        </w:rPr>
        <w:t>FDM’d</w:t>
      </w:r>
      <w:proofErr w:type="spellEnd"/>
      <w:r>
        <w:rPr>
          <w:lang w:eastAsia="x-none"/>
        </w:rPr>
        <w:t xml:space="preserve"> PUSCH, PUCCH, and PRACH</w:t>
      </w:r>
    </w:p>
    <w:p w14:paraId="4BB530BE" w14:textId="77777777" w:rsidR="00005F08" w:rsidRDefault="00005F08" w:rsidP="009464BA">
      <w:pPr>
        <w:rPr>
          <w:lang w:eastAsia="x-none"/>
        </w:rPr>
      </w:pPr>
    </w:p>
    <w:p w14:paraId="7EE9EB08" w14:textId="20954FA6" w:rsidR="00762F3A" w:rsidRDefault="00762F3A" w:rsidP="009A28B6">
      <w:pPr>
        <w:jc w:val="both"/>
      </w:pPr>
      <w:r>
        <w:lastRenderedPageBreak/>
        <w:t>A remaining open issue on PRACH design is the waveform selection for PRACH preamble between two alternatives:</w:t>
      </w:r>
    </w:p>
    <w:p w14:paraId="2DE40B61" w14:textId="54B4298F" w:rsidR="00762F3A" w:rsidRDefault="00762F3A" w:rsidP="00762F3A">
      <w:pPr>
        <w:pStyle w:val="ListParagraph"/>
        <w:numPr>
          <w:ilvl w:val="0"/>
          <w:numId w:val="36"/>
        </w:numPr>
        <w:jc w:val="both"/>
      </w:pPr>
      <w:r>
        <w:t xml:space="preserve">Tone-interlaced: keep the existing NR PRACH waveform design and its constant envelope property. </w:t>
      </w:r>
    </w:p>
    <w:p w14:paraId="60A83F42" w14:textId="0C6BFC5E" w:rsidR="00762F3A" w:rsidRDefault="00762F3A" w:rsidP="00762F3A">
      <w:pPr>
        <w:pStyle w:val="ListParagraph"/>
        <w:numPr>
          <w:ilvl w:val="0"/>
          <w:numId w:val="36"/>
        </w:numPr>
        <w:jc w:val="both"/>
      </w:pPr>
      <w:r>
        <w:t xml:space="preserve">RB-interlaced: to fit into the same framework of multi-cluster PUSCH/PUCCH design from </w:t>
      </w:r>
      <w:proofErr w:type="spellStart"/>
      <w:r>
        <w:t>eLAA</w:t>
      </w:r>
      <w:proofErr w:type="spellEnd"/>
      <w:r>
        <w:t>.</w:t>
      </w:r>
    </w:p>
    <w:p w14:paraId="3D8D8432" w14:textId="77777777" w:rsidR="00877953" w:rsidRDefault="00877953" w:rsidP="00877953">
      <w:pPr>
        <w:pStyle w:val="ListParagraph"/>
        <w:jc w:val="both"/>
      </w:pPr>
    </w:p>
    <w:p w14:paraId="19C1B459" w14:textId="6EEA8AD7" w:rsidR="006C3EA8" w:rsidRPr="0012647B" w:rsidRDefault="009A28B6" w:rsidP="009A28B6">
      <w:pPr>
        <w:jc w:val="both"/>
      </w:pPr>
      <w:r>
        <w:t xml:space="preserve">In this contribution, we briefly discuss </w:t>
      </w:r>
      <w:r w:rsidR="00936CE0">
        <w:t xml:space="preserve">potential challenges and solutions to </w:t>
      </w:r>
      <w:r w:rsidR="00336ED7">
        <w:t xml:space="preserve">PRACH </w:t>
      </w:r>
      <w:r w:rsidR="00936CE0">
        <w:t>channel design</w:t>
      </w:r>
      <w:r w:rsidR="00492A19">
        <w:t>, as well as possible LBT and channel access mechanisms for PRACH preamble transmission in unlicensed spectrum</w:t>
      </w:r>
      <w:r>
        <w:t>.</w:t>
      </w:r>
      <w:r w:rsidR="00B30B07">
        <w:t xml:space="preserve"> In our</w:t>
      </w:r>
      <w:r w:rsidR="00E00C1E">
        <w:t xml:space="preserve"> companion paper</w:t>
      </w:r>
      <w:r w:rsidR="00B30B07">
        <w:t xml:space="preserve">s </w:t>
      </w:r>
      <w:r w:rsidR="00B30B07">
        <w:fldChar w:fldCharType="begin"/>
      </w:r>
      <w:r w:rsidR="00B30B07">
        <w:instrText xml:space="preserve"> REF _Ref521620914 \n \h </w:instrText>
      </w:r>
      <w:r w:rsidR="00B30B07">
        <w:fldChar w:fldCharType="separate"/>
      </w:r>
      <w:r w:rsidR="00B30B07">
        <w:t>[5]</w:t>
      </w:r>
      <w:r w:rsidR="00B30B07">
        <w:fldChar w:fldCharType="end"/>
      </w:r>
      <w:r w:rsidR="00B30B07">
        <w:fldChar w:fldCharType="begin"/>
      </w:r>
      <w:r w:rsidR="00B30B07">
        <w:instrText xml:space="preserve"> REF _Ref510794934 \n \h </w:instrText>
      </w:r>
      <w:r w:rsidR="00B30B07">
        <w:fldChar w:fldCharType="separate"/>
      </w:r>
      <w:r w:rsidR="00B30B07">
        <w:t>[6]</w:t>
      </w:r>
      <w:r w:rsidR="00B30B07">
        <w:fldChar w:fldCharType="end"/>
      </w:r>
      <w:r w:rsidR="00E00C1E">
        <w:t xml:space="preserve">, we also briefly discuss other potential enhancements to physical layer procedures </w:t>
      </w:r>
      <w:r w:rsidR="00B30B07">
        <w:t>and DL signals design for unlicensed access</w:t>
      </w:r>
      <w:r w:rsidR="00E00C1E">
        <w:t>.</w:t>
      </w:r>
    </w:p>
    <w:p w14:paraId="391D81F2" w14:textId="3A57127F" w:rsidR="00C9318D" w:rsidRDefault="00D1768F" w:rsidP="00B02A2D">
      <w:pPr>
        <w:pStyle w:val="Heading1"/>
      </w:pPr>
      <w:r>
        <w:t>PRACH channel design</w:t>
      </w:r>
    </w:p>
    <w:p w14:paraId="396D532D" w14:textId="24A8016C" w:rsidR="00D1768F" w:rsidRPr="00D1768F" w:rsidRDefault="00D1768F" w:rsidP="00D1768F">
      <w:pPr>
        <w:pStyle w:val="Heading2"/>
      </w:pPr>
      <w:r>
        <w:t>Waveform and resource mapping</w:t>
      </w:r>
    </w:p>
    <w:p w14:paraId="0A45BEB6" w14:textId="43082E88" w:rsidR="002208A2" w:rsidRDefault="002208A2" w:rsidP="00C275A9">
      <w:pPr>
        <w:jc w:val="both"/>
      </w:pPr>
      <w:r>
        <w:t xml:space="preserve">NR PRACH preamble formats inherit similar design as LTE. The preambles are based on ZC sequence with constant envelope property </w:t>
      </w:r>
      <w:r w:rsidR="002641A0">
        <w:t xml:space="preserve">to maximize PA efficiency and coverage. It consists of two categories: the long sequence formats </w:t>
      </w:r>
      <w:r w:rsidR="00794A81">
        <w:t xml:space="preserve">with 839 tones </w:t>
      </w:r>
      <w:r w:rsidR="002641A0">
        <w:t>and short sequence formats</w:t>
      </w:r>
      <w:r w:rsidR="00794A81">
        <w:t xml:space="preserve"> with 139 tones</w:t>
      </w:r>
      <w:r w:rsidR="003D5F63">
        <w:t>,</w:t>
      </w:r>
      <w:r w:rsidR="002641A0">
        <w:t xml:space="preserve"> respectively, as shown </w:t>
      </w:r>
      <w:r w:rsidR="007F15A5">
        <w:t xml:space="preserve">in </w:t>
      </w:r>
      <w:r w:rsidR="000F6DAD">
        <w:fldChar w:fldCharType="begin"/>
      </w:r>
      <w:r w:rsidR="000F6DAD">
        <w:instrText xml:space="preserve"> REF _Ref510714710 \h </w:instrText>
      </w:r>
      <w:r w:rsidR="000F6DAD">
        <w:fldChar w:fldCharType="separate"/>
      </w:r>
      <w:r w:rsidR="000F6DAD">
        <w:t xml:space="preserve">Figure </w:t>
      </w:r>
      <w:r w:rsidR="000F6DAD">
        <w:rPr>
          <w:noProof/>
        </w:rPr>
        <w:t>3</w:t>
      </w:r>
      <w:r w:rsidR="000F6DAD">
        <w:noBreakHyphen/>
      </w:r>
      <w:r w:rsidR="000F6DAD">
        <w:rPr>
          <w:noProof/>
        </w:rPr>
        <w:t>1</w:t>
      </w:r>
      <w:r w:rsidR="000F6DAD">
        <w:fldChar w:fldCharType="end"/>
      </w:r>
      <w:r w:rsidR="000F6DAD">
        <w:t>.</w:t>
      </w:r>
    </w:p>
    <w:p w14:paraId="20315C44" w14:textId="77777777" w:rsidR="002641A0" w:rsidRDefault="002641A0" w:rsidP="00C275A9">
      <w:pPr>
        <w:jc w:val="both"/>
      </w:pPr>
    </w:p>
    <w:p w14:paraId="209EE252" w14:textId="31BF1D94" w:rsidR="002641A0" w:rsidRDefault="00E37CC2" w:rsidP="00E37CC2">
      <w:pPr>
        <w:jc w:val="center"/>
      </w:pPr>
      <w:r w:rsidRPr="00E37CC2">
        <w:rPr>
          <w:noProof/>
        </w:rPr>
        <w:drawing>
          <wp:inline distT="0" distB="0" distL="0" distR="0" wp14:anchorId="0BDE849F" wp14:editId="3B59C771">
            <wp:extent cx="4251960" cy="253288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1960" cy="2532888"/>
                    </a:xfrm>
                    <a:prstGeom prst="rect">
                      <a:avLst/>
                    </a:prstGeom>
                  </pic:spPr>
                </pic:pic>
              </a:graphicData>
            </a:graphic>
          </wp:inline>
        </w:drawing>
      </w:r>
    </w:p>
    <w:p w14:paraId="22C8B601" w14:textId="77777777" w:rsidR="00B970DD" w:rsidRDefault="00B970DD" w:rsidP="00E37CC2">
      <w:pPr>
        <w:jc w:val="center"/>
      </w:pPr>
    </w:p>
    <w:p w14:paraId="45592EF5" w14:textId="4B305781" w:rsidR="002641A0" w:rsidRDefault="007F15A5" w:rsidP="007F15A5">
      <w:pPr>
        <w:pStyle w:val="Caption"/>
      </w:pPr>
      <w:bookmarkStart w:id="1" w:name="_Ref510714710"/>
      <w:r>
        <w:t xml:space="preserve">Figure </w:t>
      </w:r>
      <w:fldSimple w:instr=" STYLEREF 1 \s ">
        <w:r w:rsidR="00CB14F9">
          <w:rPr>
            <w:noProof/>
          </w:rPr>
          <w:t>2</w:t>
        </w:r>
      </w:fldSimple>
      <w:r w:rsidR="00CB14F9">
        <w:noBreakHyphen/>
      </w:r>
      <w:fldSimple w:instr=" SEQ Figure \* ARABIC \s 1 ">
        <w:r w:rsidR="00CB14F9">
          <w:rPr>
            <w:noProof/>
          </w:rPr>
          <w:t>1</w:t>
        </w:r>
      </w:fldSimple>
      <w:bookmarkEnd w:id="1"/>
      <w:r>
        <w:t xml:space="preserve"> </w:t>
      </w:r>
      <w:r w:rsidR="00E37CC2">
        <w:t>NR PRACH preamble formats</w:t>
      </w:r>
    </w:p>
    <w:p w14:paraId="509661F7" w14:textId="77777777" w:rsidR="00D4784F" w:rsidRDefault="00576DBE" w:rsidP="00C275A9">
      <w:pPr>
        <w:jc w:val="both"/>
      </w:pPr>
      <w:r>
        <w:t>Each category also supports differ</w:t>
      </w:r>
      <w:r w:rsidR="00D4784F">
        <w:t>ent sets of numerologies, leading to different BW, transmission length and coverage.</w:t>
      </w:r>
    </w:p>
    <w:p w14:paraId="04C013C5" w14:textId="34391B2C" w:rsidR="000F6DAD" w:rsidRDefault="00576DBE" w:rsidP="00C275A9">
      <w:pPr>
        <w:jc w:val="both"/>
      </w:pPr>
      <w:r>
        <w:t xml:space="preserve">  </w:t>
      </w:r>
      <w:r w:rsidR="000F6DAD">
        <w:t xml:space="preserve"> </w:t>
      </w:r>
    </w:p>
    <w:p w14:paraId="096B46B2" w14:textId="67321891" w:rsidR="002641A0" w:rsidRDefault="00576DBE" w:rsidP="00C275A9">
      <w:pPr>
        <w:jc w:val="both"/>
      </w:pPr>
      <w:r>
        <w:t xml:space="preserve">PRACH </w:t>
      </w:r>
      <w:r w:rsidR="00D4784F">
        <w:t>support is also critical for unlicensed spectrum access, including derivation of uplink timing or for stand-alone deployment</w:t>
      </w:r>
      <w:r w:rsidR="00C6047A">
        <w:t>. However, direct application of existing NR PRACH formats to unlicensed spectrum is not straightforward, due to certain regulation requirements.</w:t>
      </w:r>
      <w:r w:rsidR="001B625A">
        <w:t xml:space="preserve"> Specifically, the transmission in the unlicensed spectrum is s</w:t>
      </w:r>
      <w:r w:rsidR="00B279AA">
        <w:t xml:space="preserve">ubject to </w:t>
      </w:r>
      <w:r w:rsidR="001B625A">
        <w:t xml:space="preserve">the following requirements on occupied channel bandwidth (COB) and power spectrum density (PSD) </w:t>
      </w:r>
      <w:r w:rsidR="001B625A">
        <w:fldChar w:fldCharType="begin"/>
      </w:r>
      <w:r w:rsidR="001B625A">
        <w:instrText xml:space="preserve"> REF _Ref506468726 \n \h </w:instrText>
      </w:r>
      <w:r w:rsidR="001B625A">
        <w:fldChar w:fldCharType="separate"/>
      </w:r>
      <w:r w:rsidR="001B625A">
        <w:t>[2]</w:t>
      </w:r>
      <w:r w:rsidR="001B625A">
        <w:fldChar w:fldCharType="end"/>
      </w:r>
      <w:r w:rsidR="001B625A">
        <w:fldChar w:fldCharType="begin"/>
      </w:r>
      <w:r w:rsidR="001B625A">
        <w:instrText xml:space="preserve"> REF _Ref506468732 \n \h </w:instrText>
      </w:r>
      <w:r w:rsidR="001B625A">
        <w:fldChar w:fldCharType="separate"/>
      </w:r>
      <w:r w:rsidR="001B625A">
        <w:t>[3]</w:t>
      </w:r>
      <w:r w:rsidR="001B625A">
        <w:fldChar w:fldCharType="end"/>
      </w:r>
    </w:p>
    <w:p w14:paraId="4EC890F1" w14:textId="04F41BC4" w:rsidR="00B279AA" w:rsidRDefault="00B279AA" w:rsidP="00B279AA">
      <w:pPr>
        <w:pStyle w:val="ListParagraph"/>
        <w:numPr>
          <w:ilvl w:val="0"/>
          <w:numId w:val="30"/>
        </w:numPr>
        <w:jc w:val="both"/>
      </w:pPr>
      <w:r>
        <w:t>COB</w:t>
      </w:r>
      <w:r w:rsidR="001B625A">
        <w:t xml:space="preserve"> requirements:</w:t>
      </w:r>
    </w:p>
    <w:p w14:paraId="07E55B81" w14:textId="2473F389" w:rsidR="001B625A" w:rsidRDefault="001B625A" w:rsidP="001B625A">
      <w:pPr>
        <w:pStyle w:val="ListParagraph"/>
        <w:numPr>
          <w:ilvl w:val="1"/>
          <w:numId w:val="30"/>
        </w:numPr>
        <w:jc w:val="both"/>
      </w:pPr>
      <w:r>
        <w:t xml:space="preserve">The </w:t>
      </w:r>
      <w:r w:rsidRPr="001B625A">
        <w:t xml:space="preserve">bandwidth containing 99% of the power of the signal, shall be between 80% and 100% of the </w:t>
      </w:r>
      <w:r w:rsidRPr="001B625A">
        <w:rPr>
          <w:i/>
          <w:iCs/>
        </w:rPr>
        <w:t>Nominal Channel Bandwidth</w:t>
      </w:r>
      <w:r w:rsidRPr="001B625A">
        <w:t xml:space="preserve"> (NCB)</w:t>
      </w:r>
    </w:p>
    <w:p w14:paraId="54DB42DF" w14:textId="17316027" w:rsidR="0049468A" w:rsidRDefault="0049468A" w:rsidP="001B625A">
      <w:pPr>
        <w:pStyle w:val="ListParagraph"/>
        <w:numPr>
          <w:ilvl w:val="1"/>
          <w:numId w:val="30"/>
        </w:numPr>
        <w:jc w:val="both"/>
      </w:pPr>
      <w:r w:rsidRPr="0049468A">
        <w:t>The OCB in 60GHz bands shall be more than 70% of the NCB</w:t>
      </w:r>
    </w:p>
    <w:p w14:paraId="607D1A0C" w14:textId="7F6139FC" w:rsidR="00B279AA" w:rsidRDefault="00B279AA" w:rsidP="00B279AA">
      <w:pPr>
        <w:pStyle w:val="ListParagraph"/>
        <w:numPr>
          <w:ilvl w:val="0"/>
          <w:numId w:val="30"/>
        </w:numPr>
        <w:jc w:val="both"/>
      </w:pPr>
      <w:r>
        <w:t>PSD</w:t>
      </w:r>
      <w:r w:rsidR="0049468A">
        <w:t xml:space="preserve"> requirements:</w:t>
      </w:r>
    </w:p>
    <w:p w14:paraId="4FFA6950" w14:textId="3EF54D41" w:rsidR="0049468A" w:rsidRDefault="0049468A" w:rsidP="0049468A">
      <w:pPr>
        <w:pStyle w:val="ListParagraph"/>
        <w:numPr>
          <w:ilvl w:val="1"/>
          <w:numId w:val="30"/>
        </w:numPr>
        <w:jc w:val="both"/>
      </w:pPr>
      <w:r>
        <w:t>For 5GHz spectrum: maximal EIRP</w:t>
      </w:r>
      <w:r w:rsidRPr="0049468A">
        <w:t xml:space="preserve"> </w:t>
      </w:r>
      <w:r>
        <w:t xml:space="preserve">is </w:t>
      </w:r>
      <w:r w:rsidRPr="0049468A">
        <w:t>23dBm and</w:t>
      </w:r>
      <w:r>
        <w:t xml:space="preserve"> PSD shall not exceed 10dBm/</w:t>
      </w:r>
      <w:proofErr w:type="spellStart"/>
      <w:r>
        <w:t>MHz.</w:t>
      </w:r>
      <w:proofErr w:type="spellEnd"/>
    </w:p>
    <w:p w14:paraId="63A196F8" w14:textId="7D9C9D41" w:rsidR="0049468A" w:rsidRDefault="0049468A" w:rsidP="0049468A">
      <w:pPr>
        <w:pStyle w:val="ListParagraph"/>
        <w:numPr>
          <w:ilvl w:val="1"/>
          <w:numId w:val="30"/>
        </w:numPr>
        <w:jc w:val="both"/>
      </w:pPr>
      <w:r>
        <w:t>For 60GHz spectrum: maximal EIRP is 40dBm and PSD shall not exceed 13dBm/</w:t>
      </w:r>
      <w:proofErr w:type="spellStart"/>
      <w:r>
        <w:t>MHz.</w:t>
      </w:r>
      <w:proofErr w:type="spellEnd"/>
    </w:p>
    <w:p w14:paraId="250259D3" w14:textId="6A5EA777" w:rsidR="00B279AA" w:rsidRDefault="00B279AA" w:rsidP="00B279AA">
      <w:pPr>
        <w:jc w:val="both"/>
      </w:pPr>
    </w:p>
    <w:p w14:paraId="11973648" w14:textId="77777777" w:rsidR="00865BD2" w:rsidRDefault="009E76EE" w:rsidP="00B279AA">
      <w:pPr>
        <w:jc w:val="both"/>
      </w:pPr>
      <w:r>
        <w:t xml:space="preserve">As shown in </w:t>
      </w:r>
      <w:r>
        <w:fldChar w:fldCharType="begin"/>
      </w:r>
      <w:r>
        <w:instrText xml:space="preserve"> REF _Ref510714710 \h </w:instrText>
      </w:r>
      <w:r>
        <w:fldChar w:fldCharType="separate"/>
      </w:r>
      <w:r>
        <w:t xml:space="preserve">Figure </w:t>
      </w:r>
      <w:r>
        <w:rPr>
          <w:noProof/>
        </w:rPr>
        <w:t>3</w:t>
      </w:r>
      <w:r>
        <w:noBreakHyphen/>
      </w:r>
      <w:r>
        <w:rPr>
          <w:noProof/>
        </w:rPr>
        <w:t>1</w:t>
      </w:r>
      <w:r>
        <w:fldChar w:fldCharType="end"/>
      </w:r>
      <w:r>
        <w:t>, the maximal PRACH pre-amble bandwidth using a long sequence format is</w:t>
      </w:r>
      <w:r w:rsidR="004619A3">
        <w:t xml:space="preserve"> </w:t>
      </w:r>
      <m:oMath>
        <m:r>
          <w:rPr>
            <w:rFonts w:ascii="Cambria Math" w:hAnsi="Cambria Math"/>
          </w:rPr>
          <m:t>839 × 5kHz≈4.2mHz</m:t>
        </m:r>
      </m:oMath>
      <w:r w:rsidR="004619A3">
        <w:t xml:space="preserve">. When using </w:t>
      </w:r>
      <w:r w:rsidR="00865BD2">
        <w:t xml:space="preserve">short sequence format, the maximal pre-amble bandwidth is also </w:t>
      </w:r>
      <m:oMath>
        <m:r>
          <w:rPr>
            <w:rFonts w:ascii="Cambria Math" w:hAnsi="Cambria Math"/>
          </w:rPr>
          <m:t>139×60kHz≈8.3mHz</m:t>
        </m:r>
      </m:oMath>
      <w:r w:rsidR="00865BD2">
        <w:t xml:space="preserve">, assuming up to 60kHz numerology is adopted for PRACH preamble in sub-6GHz spectrum. </w:t>
      </w:r>
    </w:p>
    <w:p w14:paraId="2CEC9ADA" w14:textId="77777777" w:rsidR="00865BD2" w:rsidRDefault="00865BD2" w:rsidP="00B279AA">
      <w:pPr>
        <w:jc w:val="both"/>
      </w:pPr>
    </w:p>
    <w:p w14:paraId="4C4B67B5" w14:textId="22536CD5" w:rsidR="009E76EE" w:rsidRDefault="00865BD2" w:rsidP="00B279AA">
      <w:pPr>
        <w:jc w:val="both"/>
      </w:pPr>
      <w:r>
        <w:t>We notice that in either case, the PRACH preamble will not satisfy the OCB requirements</w:t>
      </w:r>
      <w:r w:rsidR="00CF3ADC">
        <w:t xml:space="preserve"> above</w:t>
      </w:r>
      <w:r>
        <w:t>, given the channel allocation is in unit of 20Mhz for the 5GHz unlicensed spectrum.</w:t>
      </w:r>
      <w:r w:rsidR="004619A3">
        <w:t xml:space="preserve"> </w:t>
      </w:r>
      <w:r w:rsidR="00CF3ADC">
        <w:t xml:space="preserve">Further, due to the PSD requirements, the maximal transmit power is also limited. For example, with 4.2mHz BW using the long sequence format, the maximal transmit power is limited to ~16dBm for 5GHz spectrum. This is much lower than the 23dBm allowed by the regulation and imposes unnecessary constraint on the UL coverage. Therefore, the PRACH preamble waveform needs to be modified for the unlicensed spectrum in order to meet the regulation requirements and allow the UE to reach the corresponding maximum transmit power. </w:t>
      </w:r>
    </w:p>
    <w:p w14:paraId="631BA16E" w14:textId="77777777" w:rsidR="00CF3ADC" w:rsidRDefault="00CF3ADC" w:rsidP="00B279AA">
      <w:pPr>
        <w:jc w:val="both"/>
      </w:pPr>
    </w:p>
    <w:p w14:paraId="2F0BF536" w14:textId="77777777" w:rsidR="006863A8" w:rsidRDefault="006863A8" w:rsidP="00B279AA">
      <w:pPr>
        <w:jc w:val="both"/>
      </w:pPr>
      <w:r>
        <w:t>It should be emphasized that a desirable solution should introduce minimal changes to the existing design for licensed spectrum and should also keep the benefits of the existing PRACH preamble waveform as much as possible (e.g. the inherent constant envelope property from the ZC sequence).</w:t>
      </w:r>
    </w:p>
    <w:p w14:paraId="186EB619" w14:textId="77777777" w:rsidR="006863A8" w:rsidRDefault="006863A8" w:rsidP="00B279AA">
      <w:pPr>
        <w:jc w:val="both"/>
      </w:pPr>
    </w:p>
    <w:p w14:paraId="6FFE1645" w14:textId="5687FAD2" w:rsidR="009F4B4E" w:rsidRDefault="009F4B4E" w:rsidP="00B279AA">
      <w:pPr>
        <w:jc w:val="both"/>
      </w:pPr>
      <w:r>
        <w:t xml:space="preserve">One </w:t>
      </w:r>
      <w:r w:rsidR="006863A8">
        <w:t xml:space="preserve">solution is to keep the existing PRACH preamble design, but </w:t>
      </w:r>
      <w:r>
        <w:t>simply apply</w:t>
      </w:r>
      <w:r w:rsidR="006863A8">
        <w:t xml:space="preserve"> </w:t>
      </w:r>
      <w:r w:rsidR="00D37630">
        <w:t>“</w:t>
      </w:r>
      <w:r w:rsidR="006863A8" w:rsidRPr="00D37630">
        <w:rPr>
          <w:i/>
        </w:rPr>
        <w:t>tone-interlacing</w:t>
      </w:r>
      <w:r>
        <w:rPr>
          <w:i/>
        </w:rPr>
        <w:t>”</w:t>
      </w:r>
      <w:r w:rsidR="006863A8">
        <w:t xml:space="preserve"> </w:t>
      </w:r>
      <w:r>
        <w:t xml:space="preserve">by factor </w:t>
      </w:r>
      <m:oMath>
        <m:r>
          <w:rPr>
            <w:rFonts w:ascii="Cambria Math" w:hAnsi="Cambria Math"/>
          </w:rPr>
          <m:t>M</m:t>
        </m:r>
      </m:oMath>
      <w:r>
        <w:t xml:space="preserve">, </w:t>
      </w:r>
      <w:r w:rsidR="006863A8">
        <w:t>to expa</w:t>
      </w:r>
      <w:r w:rsidR="00D37630">
        <w:t xml:space="preserve">nd the PRACH preamble </w:t>
      </w:r>
      <w:r>
        <w:t xml:space="preserve">BW </w:t>
      </w:r>
      <w:r w:rsidR="00D37630">
        <w:t>such that both COB requirements and target transmit power</w:t>
      </w:r>
      <w:r>
        <w:t xml:space="preserve"> are met. </w:t>
      </w:r>
      <w:r>
        <w:fldChar w:fldCharType="begin"/>
      </w:r>
      <w:r>
        <w:instrText xml:space="preserve"> REF _Ref510774483 \h </w:instrText>
      </w:r>
      <w:r>
        <w:fldChar w:fldCharType="separate"/>
      </w:r>
      <w:r>
        <w:t xml:space="preserve">Figure </w:t>
      </w:r>
      <w:r>
        <w:rPr>
          <w:noProof/>
        </w:rPr>
        <w:t>3</w:t>
      </w:r>
      <w:r>
        <w:noBreakHyphen/>
      </w:r>
      <w:r>
        <w:rPr>
          <w:noProof/>
        </w:rPr>
        <w:t>2</w:t>
      </w:r>
      <w:r>
        <w:fldChar w:fldCharType="end"/>
      </w:r>
      <w:r>
        <w:t xml:space="preserve"> illustrates an example with </w:t>
      </w:r>
      <m:oMath>
        <m:r>
          <w:rPr>
            <w:rFonts w:ascii="Cambria Math" w:hAnsi="Cambria Math"/>
          </w:rPr>
          <m:t>M=3</m:t>
        </m:r>
      </m:oMath>
      <w:r>
        <w:t xml:space="preserve">, where PRACH preamble tones are mapped to 1 out every 3 subcarriers. </w:t>
      </w:r>
    </w:p>
    <w:p w14:paraId="72C6339B" w14:textId="77777777" w:rsidR="009F4B4E" w:rsidRDefault="009F4B4E" w:rsidP="00B279AA">
      <w:pPr>
        <w:jc w:val="both"/>
      </w:pPr>
    </w:p>
    <w:p w14:paraId="360CF08C" w14:textId="42D10C64" w:rsidR="00CF3ADC" w:rsidRDefault="00A33167" w:rsidP="009F4B4E">
      <w:pPr>
        <w:jc w:val="center"/>
      </w:pPr>
      <w:r w:rsidRPr="00A33167">
        <w:rPr>
          <w:noProof/>
        </w:rPr>
        <w:drawing>
          <wp:inline distT="0" distB="0" distL="0" distR="0" wp14:anchorId="68D53C6E" wp14:editId="54065AA8">
            <wp:extent cx="4306824" cy="2002536"/>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6824" cy="2002536"/>
                    </a:xfrm>
                    <a:prstGeom prst="rect">
                      <a:avLst/>
                    </a:prstGeom>
                  </pic:spPr>
                </pic:pic>
              </a:graphicData>
            </a:graphic>
          </wp:inline>
        </w:drawing>
      </w:r>
    </w:p>
    <w:p w14:paraId="7885231B" w14:textId="06134767" w:rsidR="009F4B4E" w:rsidRDefault="009F4B4E" w:rsidP="009F4B4E">
      <w:pPr>
        <w:pStyle w:val="Caption"/>
      </w:pPr>
      <w:bookmarkStart w:id="2" w:name="_Ref510774483"/>
      <w:r>
        <w:t xml:space="preserve">Figure </w:t>
      </w:r>
      <w:fldSimple w:instr=" STYLEREF 1 \s ">
        <w:r w:rsidR="00CB14F9">
          <w:rPr>
            <w:noProof/>
          </w:rPr>
          <w:t>2</w:t>
        </w:r>
      </w:fldSimple>
      <w:r w:rsidR="00CB14F9">
        <w:noBreakHyphen/>
      </w:r>
      <w:fldSimple w:instr=" SEQ Figure \* ARABIC \s 1 ">
        <w:r w:rsidR="00CB14F9">
          <w:rPr>
            <w:noProof/>
          </w:rPr>
          <w:t>2</w:t>
        </w:r>
      </w:fldSimple>
      <w:bookmarkEnd w:id="2"/>
      <w:r>
        <w:t xml:space="preserve"> PRACH preamble with tone interlacing</w:t>
      </w:r>
    </w:p>
    <w:p w14:paraId="50B490B1" w14:textId="77777777" w:rsidR="00B279AA" w:rsidRDefault="00B279AA" w:rsidP="00B279AA">
      <w:pPr>
        <w:jc w:val="both"/>
      </w:pPr>
    </w:p>
    <w:p w14:paraId="39AE1CA3" w14:textId="14F44AE1" w:rsidR="009F4B4E" w:rsidRDefault="00A33167" w:rsidP="00B279AA">
      <w:pPr>
        <w:jc w:val="both"/>
      </w:pPr>
      <w:r>
        <w:t xml:space="preserve">By using the tone interlacing, the PRACH preamble BW can be flexibly configured by the network, through factor </w:t>
      </w:r>
      <m:oMath>
        <m:r>
          <w:rPr>
            <w:rFonts w:ascii="Cambria Math" w:hAnsi="Cambria Math"/>
          </w:rPr>
          <m:t>M</m:t>
        </m:r>
      </m:oMath>
      <w:r>
        <w:t>, based on deployment as well as the regulation requirement. In addition, the tone-interlacing still preserves the time-domain characteristics of the original PRACH waveform</w:t>
      </w:r>
      <w:r w:rsidR="00AD0D6A">
        <w:t>, which allows maximal PA efficiency.</w:t>
      </w:r>
      <w:r w:rsidR="00511048">
        <w:t xml:space="preserve"> Different “comb” of the interlace can be treated as different PRACH preamble groups, and preambles within each group could still be separated through cyclic shifts, subject to delay spread constraints.</w:t>
      </w:r>
    </w:p>
    <w:p w14:paraId="69118775" w14:textId="77777777" w:rsidR="00AE7C81" w:rsidRDefault="00AE7C81" w:rsidP="00B279AA">
      <w:pPr>
        <w:jc w:val="both"/>
      </w:pPr>
    </w:p>
    <w:p w14:paraId="64248BBC" w14:textId="181BF30E" w:rsidR="00AE7C81" w:rsidRDefault="00AE7C81" w:rsidP="00B279AA">
      <w:pPr>
        <w:jc w:val="both"/>
        <w:rPr>
          <w:b/>
          <w:i/>
        </w:rPr>
      </w:pPr>
      <w:r>
        <w:rPr>
          <w:b/>
          <w:i/>
          <w:u w:val="single"/>
        </w:rPr>
        <w:t>Observation 1:</w:t>
      </w:r>
      <w:r>
        <w:rPr>
          <w:b/>
          <w:i/>
        </w:rPr>
        <w:t xml:space="preserve"> Tone-Interlaced </w:t>
      </w:r>
      <w:r w:rsidR="00762F3A">
        <w:rPr>
          <w:b/>
          <w:i/>
        </w:rPr>
        <w:t>PRACH preamble waveform lead to minimal changes to the existing NR PRACH preamble design and maintain the low PAPR property.</w:t>
      </w:r>
    </w:p>
    <w:p w14:paraId="7336CB23" w14:textId="77777777" w:rsidR="00762F3A" w:rsidRPr="00AE7C81" w:rsidRDefault="00762F3A" w:rsidP="00B279AA">
      <w:pPr>
        <w:jc w:val="both"/>
        <w:rPr>
          <w:b/>
          <w:i/>
        </w:rPr>
      </w:pPr>
    </w:p>
    <w:p w14:paraId="7AE95AEC" w14:textId="32D4F901" w:rsidR="00511048" w:rsidRDefault="00511048" w:rsidP="00B279AA">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71BAA8A6" w14:textId="77777777" w:rsidR="00511048" w:rsidRDefault="00511048" w:rsidP="00B279AA">
      <w:pPr>
        <w:jc w:val="both"/>
      </w:pPr>
    </w:p>
    <w:p w14:paraId="2D7A1812" w14:textId="0A90D7FD" w:rsidR="001027AA" w:rsidRPr="00511048" w:rsidRDefault="00511048" w:rsidP="001027AA">
      <w:pPr>
        <w:jc w:val="both"/>
      </w:pPr>
      <w:r w:rsidRPr="00511048">
        <w:rPr>
          <w:b/>
          <w:i/>
          <w:u w:val="single"/>
        </w:rPr>
        <w:lastRenderedPageBreak/>
        <w:t>Proposal 2</w:t>
      </w:r>
      <w:r w:rsidRPr="00511048">
        <w:rPr>
          <w:b/>
          <w:i/>
        </w:rPr>
        <w:t>: For NR unlicensed, adopt tone-interlacing on top of the existing NR PRACH preamble design</w:t>
      </w:r>
      <w:r>
        <w:t>.</w:t>
      </w:r>
    </w:p>
    <w:p w14:paraId="20B2BA9C" w14:textId="77777777" w:rsidR="006F574B" w:rsidRDefault="006F574B" w:rsidP="006F21A8">
      <w:pPr>
        <w:jc w:val="both"/>
        <w:rPr>
          <w:b/>
          <w:i/>
          <w:sz w:val="20"/>
          <w:szCs w:val="20"/>
        </w:rPr>
      </w:pPr>
    </w:p>
    <w:p w14:paraId="5C4B4088" w14:textId="6B0ECD57" w:rsidR="00D1768F" w:rsidRDefault="00D1768F" w:rsidP="00D1768F">
      <w:pPr>
        <w:pStyle w:val="Heading2"/>
      </w:pPr>
      <w:r>
        <w:t>User and channel multiplexing</w:t>
      </w:r>
    </w:p>
    <w:p w14:paraId="7E451CF4" w14:textId="2089CFAC" w:rsidR="00AE7C81" w:rsidRDefault="00AE7C81" w:rsidP="00890F7B">
      <w:pPr>
        <w:jc w:val="both"/>
      </w:pPr>
      <w:r>
        <w:t>One aspect related to PRACH</w:t>
      </w:r>
      <w:r w:rsidR="00762F3A">
        <w:t xml:space="preserve"> preamble waveform design is the multiplexing mechanism with other users and channels. </w:t>
      </w:r>
      <w:r w:rsidR="00890F7B">
        <w:t>There was argument</w:t>
      </w:r>
      <w:r w:rsidR="00762F3A">
        <w:t xml:space="preserve"> that </w:t>
      </w:r>
      <w:r w:rsidR="00890F7B">
        <w:t xml:space="preserve">since PUSCH and PUCCH will likely inherit the “multi-cluster” (RB-interlacing) design from </w:t>
      </w:r>
      <w:proofErr w:type="spellStart"/>
      <w:r w:rsidR="00890F7B">
        <w:t>eLAA</w:t>
      </w:r>
      <w:proofErr w:type="spellEnd"/>
      <w:r w:rsidR="00890F7B">
        <w:t>, it is better to also adopt the similar multi-cluster waveform for PRACH to allow FDM multiplexing of different channels.</w:t>
      </w:r>
    </w:p>
    <w:p w14:paraId="61F0C370" w14:textId="77777777" w:rsidR="00890F7B" w:rsidRDefault="00890F7B" w:rsidP="00890F7B">
      <w:pPr>
        <w:jc w:val="both"/>
      </w:pPr>
    </w:p>
    <w:p w14:paraId="1AD8917B" w14:textId="7956E4A3" w:rsidR="00A94BC4" w:rsidRDefault="00890F7B" w:rsidP="00890F7B">
      <w:pPr>
        <w:jc w:val="both"/>
      </w:pPr>
      <w:r>
        <w:t xml:space="preserve">Besides the obvious disadvantage of losing the constant envelope property of the NR PRACH waveform design, FDM-based multiplexing of RB-interlaced PRACH preamble with other users’ PUSCH/PUCCH may not be a desirable choice. In general, the PRACH preamble </w:t>
      </w:r>
      <w:r w:rsidR="00A94BC4">
        <w:t>needs guard band (or guard tones) from other scheduled data transmissions (e.g. PUSCH) due to the following reasons:</w:t>
      </w:r>
    </w:p>
    <w:p w14:paraId="24A7A3A0" w14:textId="77777777" w:rsidR="00A94BC4" w:rsidRDefault="00A94BC4" w:rsidP="00A94BC4">
      <w:pPr>
        <w:pStyle w:val="ListParagraph"/>
        <w:numPr>
          <w:ilvl w:val="1"/>
          <w:numId w:val="30"/>
        </w:numPr>
        <w:jc w:val="both"/>
      </w:pPr>
      <w:r>
        <w:t>PRACH preamble does not have precise TA control</w:t>
      </w:r>
    </w:p>
    <w:p w14:paraId="468FF3BB" w14:textId="255389CE" w:rsidR="00890F7B" w:rsidRDefault="00A94BC4" w:rsidP="00A94BC4">
      <w:pPr>
        <w:pStyle w:val="ListParagraph"/>
        <w:numPr>
          <w:ilvl w:val="1"/>
          <w:numId w:val="30"/>
        </w:numPr>
        <w:jc w:val="both"/>
      </w:pPr>
      <w:r>
        <w:t xml:space="preserve">PRACH preamble may use different SCS from the regular data </w:t>
      </w:r>
      <w:r>
        <w:fldChar w:fldCharType="begin"/>
      </w:r>
      <w:r>
        <w:instrText xml:space="preserve"> REF _Ref525745883 \r \h </w:instrText>
      </w:r>
      <w:r>
        <w:fldChar w:fldCharType="separate"/>
      </w:r>
      <w:r>
        <w:t>[7]</w:t>
      </w:r>
      <w:r>
        <w:fldChar w:fldCharType="end"/>
      </w:r>
    </w:p>
    <w:p w14:paraId="65787F3A" w14:textId="13289A0E" w:rsidR="00A94BC4" w:rsidRDefault="00A94BC4" w:rsidP="00A94BC4">
      <w:pPr>
        <w:pStyle w:val="ListParagraph"/>
        <w:numPr>
          <w:ilvl w:val="1"/>
          <w:numId w:val="30"/>
        </w:numPr>
        <w:jc w:val="both"/>
      </w:pPr>
      <w:r>
        <w:t xml:space="preserve">PRACH preamble may have different CP and </w:t>
      </w:r>
      <w:r w:rsidR="00A23669">
        <w:t>sequence</w:t>
      </w:r>
      <w:r>
        <w:t xml:space="preserve"> length from regular data</w:t>
      </w:r>
    </w:p>
    <w:p w14:paraId="22A563CD" w14:textId="77777777" w:rsidR="00A94BC4" w:rsidRDefault="00A94BC4" w:rsidP="00A94BC4">
      <w:pPr>
        <w:jc w:val="both"/>
      </w:pPr>
    </w:p>
    <w:p w14:paraId="43B13182" w14:textId="324050AF" w:rsidR="00414D2D" w:rsidRDefault="00414D2D" w:rsidP="00A94BC4">
      <w:pPr>
        <w:jc w:val="both"/>
      </w:pPr>
      <w:r>
        <w:t xml:space="preserve">To FDM multiplex RB-interlaced preamble with other users’ scheduled PUSCH transmission, more guard tones would be needed to avoid interference to the data transmission, as shown in </w:t>
      </w:r>
      <w:r>
        <w:fldChar w:fldCharType="begin"/>
      </w:r>
      <w:r>
        <w:instrText xml:space="preserve"> REF _Ref525748066 \h </w:instrText>
      </w:r>
      <w:r>
        <w:fldChar w:fldCharType="separate"/>
      </w:r>
      <w:r>
        <w:t xml:space="preserve">Figure </w:t>
      </w:r>
      <w:r>
        <w:rPr>
          <w:noProof/>
        </w:rPr>
        <w:t>2</w:t>
      </w:r>
      <w:r>
        <w:noBreakHyphen/>
      </w:r>
      <w:r>
        <w:rPr>
          <w:noProof/>
        </w:rPr>
        <w:t>3</w:t>
      </w:r>
      <w:r>
        <w:fldChar w:fldCharType="end"/>
      </w:r>
      <w:r>
        <w:t xml:space="preserve">. Therefore, it would be preferable to use TDM multiplexing between tone-interlaced RACH preamble and other users’ scheduled PUSCH transmission. </w:t>
      </w:r>
      <w:r w:rsidR="004443D1">
        <w:t xml:space="preserve">This would minimize the guard tone </w:t>
      </w:r>
      <w:r w:rsidR="00A23669">
        <w:t>needed between RACH and data, as well as potential interference to the data.</w:t>
      </w:r>
    </w:p>
    <w:p w14:paraId="7FBE3A2F" w14:textId="7FC52F53" w:rsidR="00A94BC4" w:rsidRDefault="00414D2D" w:rsidP="00A94BC4">
      <w:pPr>
        <w:jc w:val="both"/>
      </w:pPr>
      <w:r>
        <w:t xml:space="preserve"> </w:t>
      </w:r>
    </w:p>
    <w:p w14:paraId="5D37F1A5" w14:textId="3C909E34" w:rsidR="00E62F5A" w:rsidRDefault="00E62F5A" w:rsidP="002A40C8">
      <w:pPr>
        <w:jc w:val="center"/>
      </w:pPr>
      <w:r w:rsidRPr="00E62F5A">
        <w:rPr>
          <w:noProof/>
        </w:rPr>
        <w:drawing>
          <wp:inline distT="0" distB="0" distL="0" distR="0" wp14:anchorId="13120CAE" wp14:editId="1F2F6468">
            <wp:extent cx="4535424" cy="222199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35424" cy="2221992"/>
                    </a:xfrm>
                    <a:prstGeom prst="rect">
                      <a:avLst/>
                    </a:prstGeom>
                  </pic:spPr>
                </pic:pic>
              </a:graphicData>
            </a:graphic>
          </wp:inline>
        </w:drawing>
      </w:r>
    </w:p>
    <w:p w14:paraId="2F069FE2" w14:textId="0E426747" w:rsidR="002A40C8" w:rsidRDefault="002A40C8" w:rsidP="002A40C8">
      <w:pPr>
        <w:pStyle w:val="Caption"/>
      </w:pPr>
      <w:bookmarkStart w:id="3" w:name="_Ref525748066"/>
      <w:r>
        <w:t xml:space="preserve">Figure </w:t>
      </w:r>
      <w:fldSimple w:instr=" STYLEREF 1 \s ">
        <w:r w:rsidR="00CB14F9">
          <w:rPr>
            <w:noProof/>
          </w:rPr>
          <w:t>2</w:t>
        </w:r>
      </w:fldSimple>
      <w:r w:rsidR="00CB14F9">
        <w:noBreakHyphen/>
      </w:r>
      <w:fldSimple w:instr=" SEQ Figure \* ARABIC \s 1 ">
        <w:r w:rsidR="00CB14F9">
          <w:rPr>
            <w:noProof/>
          </w:rPr>
          <w:t>3</w:t>
        </w:r>
      </w:fldSimple>
      <w:bookmarkEnd w:id="3"/>
      <w:r>
        <w:t xml:space="preserve"> FDM multiplexing of data and RACH preamble: contiguous vs RB-interlace</w:t>
      </w:r>
    </w:p>
    <w:p w14:paraId="76D0457C" w14:textId="60B5FCA8" w:rsidR="002A40C8" w:rsidRPr="00AE7C81" w:rsidRDefault="00414D2D" w:rsidP="00414D2D">
      <w:pPr>
        <w:jc w:val="both"/>
      </w:pPr>
      <w:r>
        <w:rPr>
          <w:b/>
          <w:i/>
          <w:u w:val="single"/>
        </w:rPr>
        <w:t>Observation 2:</w:t>
      </w:r>
      <w:r>
        <w:rPr>
          <w:b/>
          <w:i/>
        </w:rPr>
        <w:t xml:space="preserve"> TDM multiplexing of tone-interlaced RACH preamble and PUSCH has less interference to data or requires less guard tones than FDM multiplexing of RB-interlaced RACH preamble and PUSCH.</w:t>
      </w:r>
    </w:p>
    <w:p w14:paraId="31E87878" w14:textId="686408A9" w:rsidR="00D1768F" w:rsidRDefault="00D1768F" w:rsidP="00D1768F">
      <w:pPr>
        <w:pStyle w:val="Heading2"/>
      </w:pPr>
      <w:r>
        <w:t>Channel access procedure</w:t>
      </w:r>
      <w:r w:rsidR="00A23669">
        <w:t xml:space="preserve"> for RACH preamble</w:t>
      </w:r>
    </w:p>
    <w:p w14:paraId="60AD3959" w14:textId="1BD7E4F0" w:rsidR="00A23669" w:rsidRDefault="00F50EF1" w:rsidP="00F50EF1">
      <w:pPr>
        <w:jc w:val="both"/>
      </w:pPr>
      <w:r>
        <w:t xml:space="preserve">Similar as in licensed spectrum, a UE will be configured PRACH resources. </w:t>
      </w:r>
      <w:r w:rsidR="00A23669">
        <w:t xml:space="preserve">Depending on the preamble format and numerology, RACH preamble transmission can be on the order of several hundred micro seconds, so </w:t>
      </w:r>
      <w:r>
        <w:t>CCA/</w:t>
      </w:r>
      <w:r w:rsidR="00A23669">
        <w:t xml:space="preserve">LBT might be needed </w:t>
      </w:r>
      <w:r>
        <w:t>before a UE can transmit to avoid interfering other NR-U cells or other RATs.</w:t>
      </w:r>
      <w:r w:rsidR="00A23669">
        <w:t xml:space="preserve"> </w:t>
      </w:r>
    </w:p>
    <w:p w14:paraId="4287E26F" w14:textId="77777777" w:rsidR="00F50EF1" w:rsidRDefault="00F50EF1" w:rsidP="00F50EF1">
      <w:pPr>
        <w:jc w:val="both"/>
      </w:pPr>
    </w:p>
    <w:p w14:paraId="72068A06" w14:textId="1289BE8D" w:rsidR="00F50EF1" w:rsidRDefault="00F50EF1" w:rsidP="00F50EF1">
      <w:pPr>
        <w:jc w:val="both"/>
      </w:pPr>
      <w:r>
        <w:t>The CCA could potentially be done in two alternative ways:</w:t>
      </w:r>
    </w:p>
    <w:p w14:paraId="4476899A" w14:textId="40EEF799" w:rsidR="00F50EF1" w:rsidRDefault="00F50EF1" w:rsidP="00F50EF1">
      <w:pPr>
        <w:pStyle w:val="ListParagraph"/>
        <w:numPr>
          <w:ilvl w:val="0"/>
          <w:numId w:val="30"/>
        </w:numPr>
        <w:jc w:val="both"/>
      </w:pPr>
      <w:r>
        <w:t>Option A: UE performs CCA</w:t>
      </w:r>
      <w:r w:rsidR="00125865">
        <w:t xml:space="preserve"> independently before the configured RACH resources</w:t>
      </w:r>
    </w:p>
    <w:p w14:paraId="07BFA045" w14:textId="6B241C2A" w:rsidR="00F50EF1" w:rsidRDefault="00F50EF1" w:rsidP="00F50EF1">
      <w:pPr>
        <w:pStyle w:val="ListParagraph"/>
        <w:numPr>
          <w:ilvl w:val="0"/>
          <w:numId w:val="30"/>
        </w:numPr>
        <w:jc w:val="both"/>
      </w:pPr>
      <w:r>
        <w:lastRenderedPageBreak/>
        <w:t xml:space="preserve">Option B: Network (i.e. serving </w:t>
      </w:r>
      <w:proofErr w:type="spellStart"/>
      <w:r>
        <w:t>gNB</w:t>
      </w:r>
      <w:proofErr w:type="spellEnd"/>
      <w:r>
        <w:t>) performs CCA and reserve</w:t>
      </w:r>
      <w:r w:rsidR="005E41C4">
        <w:t>s the channel for RACH resources</w:t>
      </w:r>
    </w:p>
    <w:p w14:paraId="2D666000" w14:textId="77777777" w:rsidR="00BF0702" w:rsidRDefault="00BF0702" w:rsidP="00125865">
      <w:pPr>
        <w:jc w:val="both"/>
      </w:pPr>
    </w:p>
    <w:p w14:paraId="6CA4A552" w14:textId="5001B64D" w:rsidR="00125865" w:rsidRDefault="00125865" w:rsidP="00125865">
      <w:pPr>
        <w:jc w:val="both"/>
      </w:pPr>
      <w:r>
        <w:t>Obviously, option A is the m</w:t>
      </w:r>
      <w:r w:rsidR="00BF0702">
        <w:t xml:space="preserve">ost basic one, as it treats RACH preamble as an independent transmission and does not assume any </w:t>
      </w:r>
      <w:proofErr w:type="spellStart"/>
      <w:r w:rsidR="00BF0702">
        <w:t>gNB</w:t>
      </w:r>
      <w:proofErr w:type="spellEnd"/>
      <w:r w:rsidR="00BF0702">
        <w:t xml:space="preserve"> side assistance. However, this option may not be the most efficient in certain scena</w:t>
      </w:r>
      <w:r w:rsidR="008E4E98">
        <w:t>r</w:t>
      </w:r>
      <w:r w:rsidR="00BF0702">
        <w:t xml:space="preserve">ios. </w:t>
      </w:r>
      <w:r w:rsidR="008E4E98">
        <w:t xml:space="preserve">As illustrated in </w:t>
      </w:r>
      <w:r w:rsidR="008E4E98">
        <w:fldChar w:fldCharType="begin"/>
      </w:r>
      <w:r w:rsidR="008E4E98">
        <w:instrText xml:space="preserve"> REF _Ref525766513 \h </w:instrText>
      </w:r>
      <w:r w:rsidR="008E4E98">
        <w:fldChar w:fldCharType="separate"/>
      </w:r>
      <w:r w:rsidR="008E4E98">
        <w:t xml:space="preserve">Figure </w:t>
      </w:r>
      <w:r w:rsidR="008E4E98">
        <w:rPr>
          <w:noProof/>
        </w:rPr>
        <w:t>2</w:t>
      </w:r>
      <w:r w:rsidR="008E4E98">
        <w:noBreakHyphen/>
      </w:r>
      <w:r w:rsidR="008E4E98">
        <w:rPr>
          <w:noProof/>
        </w:rPr>
        <w:t>4</w:t>
      </w:r>
      <w:r w:rsidR="008E4E98">
        <w:fldChar w:fldCharType="end"/>
      </w:r>
      <w:r w:rsidR="008E4E98">
        <w:t xml:space="preserve">, UE may fail the LBT before the configured RACH resource due to scheduled data transmission from its own serving </w:t>
      </w:r>
      <w:proofErr w:type="spellStart"/>
      <w:r w:rsidR="008E4E98">
        <w:t>gNB</w:t>
      </w:r>
      <w:proofErr w:type="spellEnd"/>
      <w:r w:rsidR="000034F6">
        <w:t xml:space="preserve">. However, in this case, the RACH UE could have transmitted in the configured RACH resource, as </w:t>
      </w:r>
      <w:r w:rsidR="00E341E0">
        <w:t>the channel is already “reserved” by the serving cell</w:t>
      </w:r>
      <w:r w:rsidR="000034F6">
        <w:t>.</w:t>
      </w:r>
    </w:p>
    <w:p w14:paraId="3F9AB456" w14:textId="77777777" w:rsidR="00AE3CF8" w:rsidRDefault="00AE3CF8" w:rsidP="00125865">
      <w:pPr>
        <w:jc w:val="both"/>
      </w:pPr>
    </w:p>
    <w:p w14:paraId="2D052282" w14:textId="519A3C11" w:rsidR="00AE3CF8" w:rsidRDefault="00215502" w:rsidP="00AE3CF8">
      <w:pPr>
        <w:jc w:val="center"/>
      </w:pPr>
      <w:r w:rsidRPr="00215502">
        <w:rPr>
          <w:noProof/>
        </w:rPr>
        <w:drawing>
          <wp:inline distT="0" distB="0" distL="0" distR="0" wp14:anchorId="24FF4580" wp14:editId="7019F37F">
            <wp:extent cx="4089400" cy="1397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400" cy="1397000"/>
                    </a:xfrm>
                    <a:prstGeom prst="rect">
                      <a:avLst/>
                    </a:prstGeom>
                  </pic:spPr>
                </pic:pic>
              </a:graphicData>
            </a:graphic>
          </wp:inline>
        </w:drawing>
      </w:r>
    </w:p>
    <w:p w14:paraId="5B730049" w14:textId="4368C527" w:rsidR="00AE3CF8" w:rsidRDefault="00AE3CF8" w:rsidP="00AE3CF8">
      <w:pPr>
        <w:pStyle w:val="Caption"/>
      </w:pPr>
      <w:bookmarkStart w:id="4" w:name="_Ref525766513"/>
      <w:r>
        <w:t xml:space="preserve">Figure </w:t>
      </w:r>
      <w:fldSimple w:instr=" STYLEREF 1 \s ">
        <w:r w:rsidR="00CB14F9">
          <w:rPr>
            <w:noProof/>
          </w:rPr>
          <w:t>2</w:t>
        </w:r>
      </w:fldSimple>
      <w:r w:rsidR="00CB14F9">
        <w:noBreakHyphen/>
      </w:r>
      <w:fldSimple w:instr=" SEQ Figure \* ARABIC \s 1 ">
        <w:r w:rsidR="00CB14F9">
          <w:rPr>
            <w:noProof/>
          </w:rPr>
          <w:t>4</w:t>
        </w:r>
      </w:fldSimple>
      <w:bookmarkEnd w:id="4"/>
      <w:r>
        <w:t xml:space="preserve"> UE LBT can fail due to other transmissions within own serving cell</w:t>
      </w:r>
    </w:p>
    <w:p w14:paraId="16CD1884" w14:textId="0B387934" w:rsidR="000034F6" w:rsidRDefault="000034F6" w:rsidP="000034F6">
      <w:pPr>
        <w:jc w:val="both"/>
      </w:pPr>
      <w:r>
        <w:t xml:space="preserve">Therefore, the alternative option B listed above could be useful in this scenario, where the LBT is done only by the </w:t>
      </w:r>
      <w:proofErr w:type="spellStart"/>
      <w:r>
        <w:t>gNB</w:t>
      </w:r>
      <w:proofErr w:type="spellEnd"/>
      <w:r>
        <w:t xml:space="preserve"> before occupying the channel. The RACH UE can safely assume that the channel is already reserved for the RACH transmission and LBT can be skipped as long</w:t>
      </w:r>
      <w:r w:rsidR="00E341E0">
        <w:t xml:space="preserve"> as the UE can detect the following:</w:t>
      </w:r>
    </w:p>
    <w:p w14:paraId="0D9794E9" w14:textId="667AE65E" w:rsidR="00E341E0" w:rsidRDefault="00E341E0" w:rsidP="00E341E0">
      <w:pPr>
        <w:pStyle w:val="ListParagraph"/>
        <w:numPr>
          <w:ilvl w:val="0"/>
          <w:numId w:val="36"/>
        </w:numPr>
        <w:jc w:val="both"/>
      </w:pPr>
      <w:r>
        <w:t xml:space="preserve">The channel prior to the RACH resource is occupied by the serving </w:t>
      </w:r>
      <w:proofErr w:type="spellStart"/>
      <w:r>
        <w:t>gNB</w:t>
      </w:r>
      <w:proofErr w:type="spellEnd"/>
    </w:p>
    <w:p w14:paraId="43170DD8" w14:textId="321A3269" w:rsidR="00E341E0" w:rsidRDefault="00E341E0" w:rsidP="00E341E0">
      <w:pPr>
        <w:pStyle w:val="ListParagraph"/>
        <w:numPr>
          <w:ilvl w:val="0"/>
          <w:numId w:val="36"/>
        </w:numPr>
        <w:jc w:val="both"/>
      </w:pPr>
      <w:r>
        <w:t xml:space="preserve">The RACH resource is within the </w:t>
      </w:r>
      <w:proofErr w:type="spellStart"/>
      <w:r>
        <w:t>CoT</w:t>
      </w:r>
      <w:proofErr w:type="spellEnd"/>
      <w:r>
        <w:t xml:space="preserve"> of the </w:t>
      </w:r>
      <w:proofErr w:type="spellStart"/>
      <w:r>
        <w:t>gNB</w:t>
      </w:r>
      <w:proofErr w:type="spellEnd"/>
    </w:p>
    <w:p w14:paraId="320CBB1D" w14:textId="77777777" w:rsidR="00E341E0" w:rsidRDefault="00E341E0" w:rsidP="00E341E0">
      <w:pPr>
        <w:jc w:val="both"/>
      </w:pPr>
    </w:p>
    <w:p w14:paraId="43AA6975" w14:textId="6932542A" w:rsidR="00E341E0" w:rsidRDefault="00F13FC5" w:rsidP="00E341E0">
      <w:pPr>
        <w:jc w:val="both"/>
      </w:pPr>
      <w:r>
        <w:t xml:space="preserve">The network can indicate this information to the UE by utilizing the ‘initial signal’ as discussed in </w:t>
      </w:r>
      <w:r>
        <w:fldChar w:fldCharType="begin"/>
      </w:r>
      <w:r>
        <w:instrText xml:space="preserve"> REF _Ref510794934 \n \h </w:instrText>
      </w:r>
      <w:r>
        <w:fldChar w:fldCharType="separate"/>
      </w:r>
      <w:r>
        <w:t>[6]</w:t>
      </w:r>
      <w:r>
        <w:fldChar w:fldCharType="end"/>
      </w:r>
      <w:r>
        <w:t xml:space="preserve">. A possible initial signal structure is </w:t>
      </w:r>
      <w:r w:rsidR="00CB14F9">
        <w:t xml:space="preserve">illustrated in </w:t>
      </w:r>
      <w:r w:rsidR="00CB14F9">
        <w:fldChar w:fldCharType="begin"/>
      </w:r>
      <w:r w:rsidR="00CB14F9">
        <w:instrText xml:space="preserve"> REF _Ref525769832 \h </w:instrText>
      </w:r>
      <w:r w:rsidR="00CB14F9">
        <w:fldChar w:fldCharType="separate"/>
      </w:r>
      <w:r w:rsidR="00CB14F9">
        <w:t xml:space="preserve">Figure </w:t>
      </w:r>
      <w:r w:rsidR="00CB14F9">
        <w:rPr>
          <w:noProof/>
        </w:rPr>
        <w:t>2</w:t>
      </w:r>
      <w:r w:rsidR="00CB14F9">
        <w:noBreakHyphen/>
      </w:r>
      <w:r w:rsidR="00CB14F9">
        <w:rPr>
          <w:noProof/>
        </w:rPr>
        <w:t>5</w:t>
      </w:r>
      <w:r w:rsidR="00CB14F9">
        <w:fldChar w:fldCharType="end"/>
      </w:r>
      <w:r w:rsidR="00215502">
        <w:t xml:space="preserve">, where the detection preamble is a universal sequence allowing for low complexity coherent detection. As discussed in </w:t>
      </w:r>
      <w:r w:rsidR="00215502">
        <w:fldChar w:fldCharType="begin"/>
      </w:r>
      <w:r w:rsidR="00215502">
        <w:instrText xml:space="preserve"> REF _Ref510794934 \n \h </w:instrText>
      </w:r>
      <w:r w:rsidR="00215502">
        <w:fldChar w:fldCharType="separate"/>
      </w:r>
      <w:r w:rsidR="00215502">
        <w:t>[6]</w:t>
      </w:r>
      <w:r w:rsidR="00215502">
        <w:fldChar w:fldCharType="end"/>
      </w:r>
      <w:r w:rsidR="00215502">
        <w:t>, a suitable candidate for 5GHz unlicensed spectrum is the 802.11 preamble, which enables fair coexistence between NR-U and existing Wi-Fi systems.</w:t>
      </w:r>
    </w:p>
    <w:p w14:paraId="47604A73" w14:textId="77777777" w:rsidR="00CB14F9" w:rsidRDefault="00CB14F9" w:rsidP="00E341E0">
      <w:pPr>
        <w:jc w:val="both"/>
      </w:pPr>
    </w:p>
    <w:p w14:paraId="410515BF" w14:textId="27119D2C" w:rsidR="00CB14F9" w:rsidRDefault="00CB14F9" w:rsidP="00CB14F9">
      <w:pPr>
        <w:jc w:val="center"/>
      </w:pPr>
      <w:r w:rsidRPr="00CB14F9">
        <w:rPr>
          <w:noProof/>
        </w:rPr>
        <w:drawing>
          <wp:inline distT="0" distB="0" distL="0" distR="0" wp14:anchorId="69C75B5A" wp14:editId="200878A5">
            <wp:extent cx="4191000" cy="147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91000" cy="1473200"/>
                    </a:xfrm>
                    <a:prstGeom prst="rect">
                      <a:avLst/>
                    </a:prstGeom>
                  </pic:spPr>
                </pic:pic>
              </a:graphicData>
            </a:graphic>
          </wp:inline>
        </w:drawing>
      </w:r>
    </w:p>
    <w:p w14:paraId="00090978" w14:textId="6BE5C6DE" w:rsidR="00CB14F9" w:rsidRDefault="00CB14F9" w:rsidP="00CB14F9">
      <w:pPr>
        <w:pStyle w:val="Caption"/>
      </w:pPr>
      <w:bookmarkStart w:id="5" w:name="_Ref525769832"/>
      <w:r>
        <w:t xml:space="preserve">Figure </w:t>
      </w:r>
      <w:fldSimple w:instr=" STYLEREF 1 \s ">
        <w:r>
          <w:rPr>
            <w:noProof/>
          </w:rPr>
          <w:t>2</w:t>
        </w:r>
      </w:fldSimple>
      <w:r>
        <w:noBreakHyphen/>
      </w:r>
      <w:fldSimple w:instr=" SEQ Figure \* ARABIC \s 1 ">
        <w:r>
          <w:rPr>
            <w:noProof/>
          </w:rPr>
          <w:t>5</w:t>
        </w:r>
      </w:fldSimple>
      <w:bookmarkEnd w:id="5"/>
      <w:r>
        <w:t xml:space="preserve"> Network reserving RACH resource using initial signal</w:t>
      </w:r>
    </w:p>
    <w:p w14:paraId="4AD3B8E8" w14:textId="7F329045" w:rsidR="00215502" w:rsidRDefault="00215502" w:rsidP="00215502">
      <w:pPr>
        <w:jc w:val="both"/>
      </w:pPr>
      <w:r>
        <w:t xml:space="preserve">In summary, option B can be applied when the serving </w:t>
      </w:r>
      <w:proofErr w:type="spellStart"/>
      <w:r>
        <w:t>gNB</w:t>
      </w:r>
      <w:proofErr w:type="spellEnd"/>
      <w:r>
        <w:t xml:space="preserve"> has also data transmission to schedule for other UEs, while option A can still be used by the RACH UE when no transmission is detected from the serving </w:t>
      </w:r>
      <w:proofErr w:type="spellStart"/>
      <w:r>
        <w:t>gNB</w:t>
      </w:r>
      <w:proofErr w:type="spellEnd"/>
      <w:r>
        <w:t>.</w:t>
      </w:r>
    </w:p>
    <w:p w14:paraId="51D5A2FF" w14:textId="77777777" w:rsidR="00215502" w:rsidRDefault="00215502" w:rsidP="00215502">
      <w:pPr>
        <w:jc w:val="both"/>
      </w:pPr>
    </w:p>
    <w:p w14:paraId="115DC733" w14:textId="2A3C6385" w:rsidR="005E41C4" w:rsidRDefault="00215502" w:rsidP="005E41C4">
      <w:pPr>
        <w:jc w:val="both"/>
        <w:rPr>
          <w:b/>
          <w:i/>
        </w:rPr>
      </w:pPr>
      <w:r w:rsidRPr="00511048">
        <w:rPr>
          <w:b/>
          <w:i/>
          <w:u w:val="single"/>
        </w:rPr>
        <w:t xml:space="preserve">Proposal </w:t>
      </w:r>
      <w:r>
        <w:rPr>
          <w:b/>
          <w:i/>
          <w:u w:val="single"/>
        </w:rPr>
        <w:t>3</w:t>
      </w:r>
      <w:r w:rsidRPr="00511048">
        <w:rPr>
          <w:b/>
          <w:i/>
        </w:rPr>
        <w:t xml:space="preserve">: For NR unlicensed, </w:t>
      </w:r>
      <w:r>
        <w:rPr>
          <w:b/>
          <w:i/>
        </w:rPr>
        <w:t xml:space="preserve">support </w:t>
      </w:r>
      <w:r w:rsidR="005E41C4">
        <w:rPr>
          <w:b/>
          <w:i/>
        </w:rPr>
        <w:t>the two options below for UE-based LBT and network-based LBT, respectively, for RACH preamble transmissions:</w:t>
      </w:r>
    </w:p>
    <w:p w14:paraId="4A4DEAFA" w14:textId="12733A2E" w:rsidR="005E41C4" w:rsidRPr="005E41C4" w:rsidRDefault="005E41C4" w:rsidP="005E41C4">
      <w:pPr>
        <w:pStyle w:val="ListParagraph"/>
        <w:numPr>
          <w:ilvl w:val="0"/>
          <w:numId w:val="36"/>
        </w:numPr>
        <w:jc w:val="both"/>
      </w:pPr>
      <w:r w:rsidRPr="005E41C4">
        <w:rPr>
          <w:b/>
          <w:i/>
        </w:rPr>
        <w:t>Option</w:t>
      </w:r>
      <w:r>
        <w:rPr>
          <w:b/>
          <w:i/>
        </w:rPr>
        <w:t xml:space="preserve"> A: </w:t>
      </w:r>
      <w:r w:rsidRPr="005E41C4">
        <w:rPr>
          <w:b/>
          <w:i/>
        </w:rPr>
        <w:t>UE performs CCA independently before the configured RACH resources</w:t>
      </w:r>
    </w:p>
    <w:p w14:paraId="0F19FD75" w14:textId="5B326EBF" w:rsidR="005E41C4" w:rsidRPr="00511048" w:rsidRDefault="005E41C4" w:rsidP="005E41C4">
      <w:pPr>
        <w:pStyle w:val="ListParagraph"/>
        <w:numPr>
          <w:ilvl w:val="0"/>
          <w:numId w:val="36"/>
        </w:numPr>
        <w:jc w:val="both"/>
      </w:pPr>
      <w:r>
        <w:rPr>
          <w:b/>
          <w:i/>
        </w:rPr>
        <w:t xml:space="preserve">Option B: </w:t>
      </w:r>
      <w:r w:rsidRPr="005E41C4">
        <w:rPr>
          <w:b/>
          <w:i/>
        </w:rPr>
        <w:t xml:space="preserve">Network (i.e. serving </w:t>
      </w:r>
      <w:proofErr w:type="spellStart"/>
      <w:r w:rsidRPr="005E41C4">
        <w:rPr>
          <w:b/>
          <w:i/>
        </w:rPr>
        <w:t>gNB</w:t>
      </w:r>
      <w:proofErr w:type="spellEnd"/>
      <w:r w:rsidRPr="005E41C4">
        <w:rPr>
          <w:b/>
          <w:i/>
        </w:rPr>
        <w:t>) performs CCA and reserves the channel for RACH resources</w:t>
      </w:r>
    </w:p>
    <w:p w14:paraId="2896E657" w14:textId="38489508" w:rsidR="00854A60" w:rsidRDefault="00CB1432" w:rsidP="00FB330B">
      <w:pPr>
        <w:pStyle w:val="Heading1"/>
      </w:pPr>
      <w:r>
        <w:lastRenderedPageBreak/>
        <w:t>Concl</w:t>
      </w:r>
      <w:r w:rsidR="009C5A97" w:rsidRPr="00FB330B">
        <w:t>usion</w:t>
      </w:r>
      <w:r w:rsidR="004424BC" w:rsidRPr="00FB330B">
        <w:t>s</w:t>
      </w:r>
    </w:p>
    <w:p w14:paraId="5DD07323" w14:textId="06D24D2C" w:rsidR="00FE3D51" w:rsidRDefault="00FE3D51" w:rsidP="00C90907">
      <w:pPr>
        <w:jc w:val="both"/>
      </w:pPr>
      <w:r>
        <w:t xml:space="preserve">In this contribution, </w:t>
      </w:r>
      <w:r w:rsidR="00C90907">
        <w:t>we briefly discuss potential challenges and solutions to PRACH channel design, as well as possible LBT and channel access mechanisms for PRACH preamble transmission in unlicensed spectrum.</w:t>
      </w:r>
      <w:r>
        <w:t xml:space="preserve"> We have the following observation and proposals:</w:t>
      </w:r>
    </w:p>
    <w:p w14:paraId="7314EBED" w14:textId="77777777" w:rsidR="00FE3D51" w:rsidRDefault="00FE3D51" w:rsidP="00FE3D51">
      <w:pPr>
        <w:rPr>
          <w:b/>
          <w:i/>
          <w:color w:val="000000" w:themeColor="text1"/>
        </w:rPr>
      </w:pPr>
    </w:p>
    <w:p w14:paraId="70805B9D" w14:textId="77777777" w:rsidR="005E41C4" w:rsidRDefault="005E41C4" w:rsidP="005E41C4">
      <w:pPr>
        <w:jc w:val="both"/>
        <w:rPr>
          <w:b/>
          <w:i/>
        </w:rPr>
      </w:pPr>
      <w:r>
        <w:rPr>
          <w:b/>
          <w:i/>
          <w:u w:val="single"/>
        </w:rPr>
        <w:t>Observation 1:</w:t>
      </w:r>
      <w:r>
        <w:rPr>
          <w:b/>
          <w:i/>
        </w:rPr>
        <w:t xml:space="preserve"> Tone-Interlaced PRACH preamble waveform lead to minimal changes to the existing NR PRACH preamble design and maintain the low PAPR property.</w:t>
      </w:r>
    </w:p>
    <w:p w14:paraId="6C9E5693" w14:textId="77777777" w:rsidR="005E41C4" w:rsidRDefault="005E41C4" w:rsidP="005E41C4">
      <w:pPr>
        <w:jc w:val="both"/>
        <w:rPr>
          <w:b/>
          <w:i/>
        </w:rPr>
      </w:pPr>
    </w:p>
    <w:p w14:paraId="49A95DC0" w14:textId="77777777" w:rsidR="005E41C4" w:rsidRPr="00AE7C81" w:rsidRDefault="005E41C4" w:rsidP="005E41C4">
      <w:pPr>
        <w:jc w:val="both"/>
      </w:pPr>
      <w:r>
        <w:rPr>
          <w:b/>
          <w:i/>
          <w:u w:val="single"/>
        </w:rPr>
        <w:t>Observation 2:</w:t>
      </w:r>
      <w:r>
        <w:rPr>
          <w:b/>
          <w:i/>
        </w:rPr>
        <w:t xml:space="preserve"> TDM multiplexing of tone-interlaced RACH preamble and PUSCH has less interference to data or requires less guard tones than FDM multiplexing of RB-interlaced RACH preamble and PUSCH.</w:t>
      </w:r>
    </w:p>
    <w:p w14:paraId="3138F0F3" w14:textId="77777777" w:rsidR="005E41C4" w:rsidRDefault="005E41C4" w:rsidP="00FE3D51">
      <w:pPr>
        <w:rPr>
          <w:b/>
          <w:i/>
          <w:color w:val="000000" w:themeColor="text1"/>
        </w:rPr>
      </w:pPr>
    </w:p>
    <w:p w14:paraId="74B89516" w14:textId="77777777" w:rsidR="00C73F28" w:rsidRDefault="00C73F28" w:rsidP="00C73F28">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683C59A3" w14:textId="77777777" w:rsidR="00C73F28" w:rsidRDefault="00C73F28" w:rsidP="00C73F28">
      <w:pPr>
        <w:jc w:val="both"/>
      </w:pPr>
    </w:p>
    <w:p w14:paraId="6E47AABD" w14:textId="77777777" w:rsidR="00C73F28" w:rsidRDefault="00C73F28" w:rsidP="00C73F28">
      <w:pPr>
        <w:jc w:val="both"/>
      </w:pPr>
      <w:r w:rsidRPr="00511048">
        <w:rPr>
          <w:b/>
          <w:i/>
          <w:u w:val="single"/>
        </w:rPr>
        <w:t>Proposal 2</w:t>
      </w:r>
      <w:r w:rsidRPr="00511048">
        <w:rPr>
          <w:b/>
          <w:i/>
        </w:rPr>
        <w:t>: For NR unlicensed, adopt tone-interlacing on top of the existing NR PRACH preamble design</w:t>
      </w:r>
      <w:r>
        <w:t>.</w:t>
      </w:r>
    </w:p>
    <w:p w14:paraId="41061062" w14:textId="77777777" w:rsidR="00C73F28" w:rsidRDefault="00C73F28" w:rsidP="00C73F28">
      <w:pPr>
        <w:jc w:val="both"/>
      </w:pPr>
    </w:p>
    <w:p w14:paraId="7C80697A" w14:textId="77777777" w:rsidR="005E41C4" w:rsidRDefault="005E41C4" w:rsidP="005E41C4">
      <w:pPr>
        <w:jc w:val="both"/>
        <w:rPr>
          <w:b/>
          <w:i/>
        </w:rPr>
      </w:pPr>
      <w:r w:rsidRPr="00511048">
        <w:rPr>
          <w:b/>
          <w:i/>
          <w:u w:val="single"/>
        </w:rPr>
        <w:t xml:space="preserve">Proposal </w:t>
      </w:r>
      <w:r>
        <w:rPr>
          <w:b/>
          <w:i/>
          <w:u w:val="single"/>
        </w:rPr>
        <w:t>3</w:t>
      </w:r>
      <w:r w:rsidRPr="00511048">
        <w:rPr>
          <w:b/>
          <w:i/>
        </w:rPr>
        <w:t xml:space="preserve">: For NR unlicensed, </w:t>
      </w:r>
      <w:r>
        <w:rPr>
          <w:b/>
          <w:i/>
        </w:rPr>
        <w:t>support the two options below for UE-based LBT and network-based LBT, respectively, for RACH preamble transmissions:</w:t>
      </w:r>
    </w:p>
    <w:p w14:paraId="655B6B93" w14:textId="77777777" w:rsidR="005E41C4" w:rsidRPr="005E41C4" w:rsidRDefault="005E41C4" w:rsidP="005E41C4">
      <w:pPr>
        <w:pStyle w:val="ListParagraph"/>
        <w:numPr>
          <w:ilvl w:val="0"/>
          <w:numId w:val="36"/>
        </w:numPr>
        <w:jc w:val="both"/>
      </w:pPr>
      <w:r w:rsidRPr="005E41C4">
        <w:rPr>
          <w:b/>
          <w:i/>
        </w:rPr>
        <w:t>Option</w:t>
      </w:r>
      <w:r>
        <w:rPr>
          <w:b/>
          <w:i/>
        </w:rPr>
        <w:t xml:space="preserve"> A: </w:t>
      </w:r>
      <w:r w:rsidRPr="005E41C4">
        <w:rPr>
          <w:b/>
          <w:i/>
        </w:rPr>
        <w:t>UE performs CCA independently before the configured RACH resources</w:t>
      </w:r>
    </w:p>
    <w:p w14:paraId="7F3AC2C9" w14:textId="77777777" w:rsidR="005E41C4" w:rsidRPr="00511048" w:rsidRDefault="005E41C4" w:rsidP="005E41C4">
      <w:pPr>
        <w:pStyle w:val="ListParagraph"/>
        <w:numPr>
          <w:ilvl w:val="0"/>
          <w:numId w:val="36"/>
        </w:numPr>
        <w:jc w:val="both"/>
      </w:pPr>
      <w:r>
        <w:rPr>
          <w:b/>
          <w:i/>
        </w:rPr>
        <w:t xml:space="preserve">Option B: </w:t>
      </w:r>
      <w:r w:rsidRPr="005E41C4">
        <w:rPr>
          <w:b/>
          <w:i/>
        </w:rPr>
        <w:t xml:space="preserve">Network (i.e. serving </w:t>
      </w:r>
      <w:proofErr w:type="spellStart"/>
      <w:r w:rsidRPr="005E41C4">
        <w:rPr>
          <w:b/>
          <w:i/>
        </w:rPr>
        <w:t>gNB</w:t>
      </w:r>
      <w:proofErr w:type="spellEnd"/>
      <w:r w:rsidRPr="005E41C4">
        <w:rPr>
          <w:b/>
          <w:i/>
        </w:rPr>
        <w:t>) performs CCA and reserves the channel for RACH resources</w:t>
      </w:r>
    </w:p>
    <w:p w14:paraId="5856296F" w14:textId="77777777" w:rsidR="005E41C4" w:rsidRDefault="005E41C4" w:rsidP="00C73F28">
      <w:pPr>
        <w:jc w:val="both"/>
      </w:pPr>
    </w:p>
    <w:p w14:paraId="7716D850" w14:textId="47F291FA" w:rsidR="003E0F30" w:rsidRDefault="005C63AE" w:rsidP="00920B5C">
      <w:pPr>
        <w:pStyle w:val="Heading1"/>
      </w:pPr>
      <w:r>
        <w:t>References</w:t>
      </w:r>
    </w:p>
    <w:p w14:paraId="217E5F97" w14:textId="6FE60252" w:rsidR="00280537" w:rsidRPr="006C3EA8" w:rsidRDefault="00834197"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6" w:name="_Ref506552387"/>
      <w:r>
        <w:rPr>
          <w:sz w:val="20"/>
          <w:szCs w:val="20"/>
        </w:rPr>
        <w:t xml:space="preserve">RP-172021, “Revised SID on NR-based Access to Unlicensed </w:t>
      </w:r>
      <w:proofErr w:type="spellStart"/>
      <w:r>
        <w:rPr>
          <w:sz w:val="20"/>
          <w:szCs w:val="20"/>
        </w:rPr>
        <w:t>Spe</w:t>
      </w:r>
      <w:r w:rsidR="00F13FC5">
        <w:rPr>
          <w:sz w:val="20"/>
          <w:szCs w:val="20"/>
        </w:rPr>
        <w:t>.</w:t>
      </w:r>
      <w:r>
        <w:rPr>
          <w:sz w:val="20"/>
          <w:szCs w:val="20"/>
        </w:rPr>
        <w:t>ctrum</w:t>
      </w:r>
      <w:proofErr w:type="spellEnd"/>
      <w:r>
        <w:rPr>
          <w:sz w:val="20"/>
          <w:szCs w:val="20"/>
        </w:rPr>
        <w:t xml:space="preserve">”,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6"/>
    </w:p>
    <w:p w14:paraId="09B5F042" w14:textId="77777777" w:rsidR="00F56CD5" w:rsidRPr="00D533ED" w:rsidRDefault="00F56CD5"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7" w:name="_Ref506468726"/>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p>
    <w:p w14:paraId="47CC749D" w14:textId="4E215F4C" w:rsidR="00D533ED" w:rsidRPr="006C5678" w:rsidRDefault="00D533E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7"/>
    </w:p>
    <w:p w14:paraId="7151BA9A" w14:textId="14082DBB" w:rsidR="006C5678" w:rsidRDefault="006C5678"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06468732"/>
      <w:r>
        <w:rPr>
          <w:sz w:val="20"/>
          <w:szCs w:val="20"/>
        </w:rPr>
        <w:t>ETSI EN 302 567, “Multiple-Gigabit radio equipment operating in the 60GHz band”</w:t>
      </w:r>
      <w:bookmarkEnd w:id="8"/>
    </w:p>
    <w:p w14:paraId="54591D44" w14:textId="5FEF62BF" w:rsidR="00B820CD" w:rsidRPr="00B820CD" w:rsidRDefault="00B820C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21620914"/>
      <w:r w:rsidRPr="00875C81">
        <w:rPr>
          <w:sz w:val="20"/>
          <w:szCs w:val="20"/>
        </w:rPr>
        <w:t>R1-</w:t>
      </w:r>
      <w:r w:rsidR="00875C81">
        <w:rPr>
          <w:sz w:val="20"/>
          <w:szCs w:val="20"/>
        </w:rPr>
        <w:t>1811119</w:t>
      </w:r>
      <w:r>
        <w:rPr>
          <w:sz w:val="20"/>
          <w:szCs w:val="20"/>
        </w:rPr>
        <w:t>, “</w:t>
      </w:r>
      <w:r w:rsidR="00B30B07">
        <w:rPr>
          <w:sz w:val="20"/>
          <w:szCs w:val="20"/>
        </w:rPr>
        <w:t>Channel access procedures for NR-U</w:t>
      </w:r>
      <w:r>
        <w:rPr>
          <w:sz w:val="20"/>
          <w:szCs w:val="20"/>
        </w:rPr>
        <w:t>”, Apple Inc., 3GPP RAN1 #94</w:t>
      </w:r>
      <w:r w:rsidR="00F13FC5">
        <w:rPr>
          <w:sz w:val="20"/>
          <w:szCs w:val="20"/>
        </w:rPr>
        <w:t>bis</w:t>
      </w:r>
      <w:r>
        <w:rPr>
          <w:sz w:val="20"/>
          <w:szCs w:val="20"/>
        </w:rPr>
        <w:t xml:space="preserve">, </w:t>
      </w:r>
      <w:r w:rsidR="00F13FC5">
        <w:rPr>
          <w:sz w:val="20"/>
          <w:szCs w:val="20"/>
        </w:rPr>
        <w:t>Chengdu</w:t>
      </w:r>
      <w:r>
        <w:rPr>
          <w:sz w:val="20"/>
          <w:szCs w:val="20"/>
        </w:rPr>
        <w:t xml:space="preserve">, </w:t>
      </w:r>
      <w:r w:rsidR="00F13FC5">
        <w:rPr>
          <w:sz w:val="20"/>
          <w:szCs w:val="20"/>
        </w:rPr>
        <w:t>China</w:t>
      </w:r>
      <w:r>
        <w:rPr>
          <w:sz w:val="20"/>
          <w:szCs w:val="20"/>
        </w:rPr>
        <w:t xml:space="preserve">, </w:t>
      </w:r>
      <w:r w:rsidR="00F13FC5">
        <w:rPr>
          <w:sz w:val="20"/>
          <w:szCs w:val="20"/>
        </w:rPr>
        <w:t>8</w:t>
      </w:r>
      <w:r w:rsidRPr="00C722B1">
        <w:rPr>
          <w:sz w:val="20"/>
          <w:szCs w:val="20"/>
          <w:vertAlign w:val="superscript"/>
        </w:rPr>
        <w:t>th</w:t>
      </w:r>
      <w:r>
        <w:rPr>
          <w:sz w:val="20"/>
          <w:szCs w:val="20"/>
        </w:rPr>
        <w:t xml:space="preserve"> – </w:t>
      </w:r>
      <w:r w:rsidR="00F13FC5">
        <w:rPr>
          <w:sz w:val="20"/>
          <w:szCs w:val="20"/>
        </w:rPr>
        <w:t>12</w:t>
      </w:r>
      <w:r w:rsidRPr="00C722B1">
        <w:rPr>
          <w:sz w:val="20"/>
          <w:szCs w:val="20"/>
          <w:vertAlign w:val="superscript"/>
        </w:rPr>
        <w:t>th</w:t>
      </w:r>
      <w:r w:rsidR="00F13FC5">
        <w:rPr>
          <w:sz w:val="20"/>
          <w:szCs w:val="20"/>
        </w:rPr>
        <w:t>, October</w:t>
      </w:r>
      <w:r>
        <w:rPr>
          <w:sz w:val="20"/>
          <w:szCs w:val="20"/>
        </w:rPr>
        <w:t xml:space="preserve"> 2018.</w:t>
      </w:r>
      <w:bookmarkEnd w:id="9"/>
    </w:p>
    <w:p w14:paraId="5ECED677" w14:textId="55CF56DC" w:rsidR="00B820CD" w:rsidRDefault="00B820CD" w:rsidP="00875C81">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10794934"/>
      <w:r w:rsidRPr="00875C81">
        <w:rPr>
          <w:sz w:val="20"/>
          <w:szCs w:val="20"/>
        </w:rPr>
        <w:t>R1-</w:t>
      </w:r>
      <w:r w:rsidR="00875C81">
        <w:rPr>
          <w:sz w:val="20"/>
          <w:szCs w:val="20"/>
        </w:rPr>
        <w:t>1811120</w:t>
      </w:r>
      <w:r>
        <w:rPr>
          <w:sz w:val="20"/>
          <w:szCs w:val="20"/>
        </w:rPr>
        <w:t>, “On DL signals and channels for NR-U”, Apple Inc., 3GPP RAN1 #94</w:t>
      </w:r>
      <w:r w:rsidR="00F13FC5">
        <w:rPr>
          <w:sz w:val="20"/>
          <w:szCs w:val="20"/>
        </w:rPr>
        <w:t>bis</w:t>
      </w:r>
      <w:r>
        <w:rPr>
          <w:sz w:val="20"/>
          <w:szCs w:val="20"/>
        </w:rPr>
        <w:t xml:space="preserve">, </w:t>
      </w:r>
      <w:r w:rsidR="00F13FC5">
        <w:rPr>
          <w:sz w:val="20"/>
          <w:szCs w:val="20"/>
        </w:rPr>
        <w:t>Chengdu</w:t>
      </w:r>
      <w:r>
        <w:rPr>
          <w:sz w:val="20"/>
          <w:szCs w:val="20"/>
        </w:rPr>
        <w:t xml:space="preserve">, </w:t>
      </w:r>
      <w:r w:rsidR="00F13FC5">
        <w:rPr>
          <w:sz w:val="20"/>
          <w:szCs w:val="20"/>
        </w:rPr>
        <w:t>China</w:t>
      </w:r>
      <w:r>
        <w:rPr>
          <w:sz w:val="20"/>
          <w:szCs w:val="20"/>
        </w:rPr>
        <w:t xml:space="preserve">, </w:t>
      </w:r>
      <w:r w:rsidR="00F13FC5">
        <w:rPr>
          <w:sz w:val="20"/>
          <w:szCs w:val="20"/>
        </w:rPr>
        <w:t>8</w:t>
      </w:r>
      <w:r w:rsidRPr="00C722B1">
        <w:rPr>
          <w:sz w:val="20"/>
          <w:szCs w:val="20"/>
          <w:vertAlign w:val="superscript"/>
        </w:rPr>
        <w:t>th</w:t>
      </w:r>
      <w:r>
        <w:rPr>
          <w:sz w:val="20"/>
          <w:szCs w:val="20"/>
        </w:rPr>
        <w:t xml:space="preserve"> – </w:t>
      </w:r>
      <w:r w:rsidR="00F13FC5">
        <w:rPr>
          <w:sz w:val="20"/>
          <w:szCs w:val="20"/>
        </w:rPr>
        <w:t>12</w:t>
      </w:r>
      <w:r w:rsidRPr="00C722B1">
        <w:rPr>
          <w:sz w:val="20"/>
          <w:szCs w:val="20"/>
          <w:vertAlign w:val="superscript"/>
        </w:rPr>
        <w:t>th</w:t>
      </w:r>
      <w:r w:rsidR="00F13FC5">
        <w:rPr>
          <w:sz w:val="20"/>
          <w:szCs w:val="20"/>
        </w:rPr>
        <w:t>, October</w:t>
      </w:r>
      <w:r>
        <w:rPr>
          <w:sz w:val="20"/>
          <w:szCs w:val="20"/>
        </w:rPr>
        <w:t xml:space="preserve"> 2018.</w:t>
      </w:r>
      <w:bookmarkEnd w:id="10"/>
    </w:p>
    <w:p w14:paraId="580DDCD0" w14:textId="6964B427" w:rsidR="00A94BC4" w:rsidRDefault="00A94BC4" w:rsidP="00B820CD">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25745883"/>
      <w:r>
        <w:rPr>
          <w:sz w:val="20"/>
          <w:szCs w:val="20"/>
        </w:rPr>
        <w:t>3GPP TS 38.211, “NR Physical cha</w:t>
      </w:r>
      <w:bookmarkStart w:id="12" w:name="_GoBack"/>
      <w:bookmarkEnd w:id="12"/>
      <w:r>
        <w:rPr>
          <w:sz w:val="20"/>
          <w:szCs w:val="20"/>
        </w:rPr>
        <w:t>nnels and modulation (Release 15)”</w:t>
      </w:r>
      <w:bookmarkEnd w:id="11"/>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6B790" w14:textId="77777777" w:rsidR="00206A17" w:rsidRDefault="00206A17">
      <w:r>
        <w:separator/>
      </w:r>
    </w:p>
  </w:endnote>
  <w:endnote w:type="continuationSeparator" w:id="0">
    <w:p w14:paraId="066FAA52" w14:textId="77777777" w:rsidR="00206A17" w:rsidRDefault="00206A17">
      <w:r>
        <w:continuationSeparator/>
      </w:r>
    </w:p>
  </w:endnote>
  <w:endnote w:type="continuationNotice" w:id="1">
    <w:p w14:paraId="7EB070CF" w14:textId="77777777" w:rsidR="00206A17" w:rsidRDefault="00206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677E3" w14:textId="77777777" w:rsidR="00206A17" w:rsidRDefault="00206A17">
      <w:r>
        <w:separator/>
      </w:r>
    </w:p>
  </w:footnote>
  <w:footnote w:type="continuationSeparator" w:id="0">
    <w:p w14:paraId="71DBB1E8" w14:textId="77777777" w:rsidR="00206A17" w:rsidRDefault="00206A17">
      <w:r>
        <w:continuationSeparator/>
      </w:r>
    </w:p>
  </w:footnote>
  <w:footnote w:type="continuationNotice" w:id="1">
    <w:p w14:paraId="34E58006" w14:textId="77777777" w:rsidR="00206A17" w:rsidRDefault="00206A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DE22B0"/>
    <w:multiLevelType w:val="hybridMultilevel"/>
    <w:tmpl w:val="1BE0C512"/>
    <w:lvl w:ilvl="0" w:tplc="78C824D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8"/>
  </w:num>
  <w:num w:numId="5">
    <w:abstractNumId w:val="12"/>
  </w:num>
  <w:num w:numId="6">
    <w:abstractNumId w:val="19"/>
  </w:num>
  <w:num w:numId="7">
    <w:abstractNumId w:val="27"/>
  </w:num>
  <w:num w:numId="8">
    <w:abstractNumId w:val="13"/>
  </w:num>
  <w:num w:numId="9">
    <w:abstractNumId w:val="24"/>
  </w:num>
  <w:num w:numId="10">
    <w:abstractNumId w:val="15"/>
  </w:num>
  <w:num w:numId="11">
    <w:abstractNumId w:val="14"/>
  </w:num>
  <w:num w:numId="12">
    <w:abstractNumId w:val="29"/>
  </w:num>
  <w:num w:numId="13">
    <w:abstractNumId w:val="9"/>
  </w:num>
  <w:num w:numId="14">
    <w:abstractNumId w:val="1"/>
  </w:num>
  <w:num w:numId="15">
    <w:abstractNumId w:val="6"/>
  </w:num>
  <w:num w:numId="16">
    <w:abstractNumId w:val="32"/>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1"/>
  </w:num>
  <w:num w:numId="23">
    <w:abstractNumId w:val="30"/>
  </w:num>
  <w:num w:numId="24">
    <w:abstractNumId w:val="7"/>
  </w:num>
  <w:num w:numId="25">
    <w:abstractNumId w:val="16"/>
  </w:num>
  <w:num w:numId="26">
    <w:abstractNumId w:val="26"/>
  </w:num>
  <w:num w:numId="27">
    <w:abstractNumId w:val="2"/>
  </w:num>
  <w:num w:numId="28">
    <w:abstractNumId w:val="11"/>
  </w:num>
  <w:num w:numId="29">
    <w:abstractNumId w:val="10"/>
  </w:num>
  <w:num w:numId="30">
    <w:abstractNumId w:val="25"/>
  </w:num>
  <w:num w:numId="31">
    <w:abstractNumId w:val="8"/>
  </w:num>
  <w:num w:numId="32">
    <w:abstractNumId w:val="20"/>
  </w:num>
  <w:num w:numId="33">
    <w:abstractNumId w:val="28"/>
  </w:num>
  <w:num w:numId="34">
    <w:abstractNumId w:val="31"/>
  </w:num>
  <w:num w:numId="35">
    <w:abstractNumId w:val="3"/>
  </w:num>
  <w:num w:numId="3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4F6"/>
    <w:rsid w:val="00003514"/>
    <w:rsid w:val="00004BB1"/>
    <w:rsid w:val="00004BE5"/>
    <w:rsid w:val="00005F08"/>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5D0"/>
    <w:rsid w:val="00124A77"/>
    <w:rsid w:val="00125865"/>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1342"/>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6A17"/>
    <w:rsid w:val="00207E1A"/>
    <w:rsid w:val="00207FA3"/>
    <w:rsid w:val="00213283"/>
    <w:rsid w:val="00213867"/>
    <w:rsid w:val="00213E1E"/>
    <w:rsid w:val="00214DA8"/>
    <w:rsid w:val="00215423"/>
    <w:rsid w:val="00215502"/>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40C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6ED7"/>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D7BF7"/>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D2D"/>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481C"/>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3D1"/>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A19"/>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321"/>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41C4"/>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0DD5"/>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2F3A"/>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81"/>
    <w:rsid w:val="00875CD7"/>
    <w:rsid w:val="00875E97"/>
    <w:rsid w:val="0087621E"/>
    <w:rsid w:val="00876466"/>
    <w:rsid w:val="00876B4D"/>
    <w:rsid w:val="0087707E"/>
    <w:rsid w:val="00877265"/>
    <w:rsid w:val="00877953"/>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0F7B"/>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4E98"/>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4BA"/>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669"/>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BC4"/>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CF8"/>
    <w:rsid w:val="00AE3E93"/>
    <w:rsid w:val="00AE40E0"/>
    <w:rsid w:val="00AE4D2F"/>
    <w:rsid w:val="00AE4DBA"/>
    <w:rsid w:val="00AE4F07"/>
    <w:rsid w:val="00AE743A"/>
    <w:rsid w:val="00AE7C81"/>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0B07"/>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0CD"/>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702"/>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907"/>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2B"/>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4F9"/>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68F"/>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39C8"/>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1E0"/>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2F5A"/>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9AC"/>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3FC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EF1"/>
    <w:rsid w:val="00F50FE8"/>
    <w:rsid w:val="00F519CE"/>
    <w:rsid w:val="00F51ADA"/>
    <w:rsid w:val="00F5302E"/>
    <w:rsid w:val="00F53417"/>
    <w:rsid w:val="00F53EA5"/>
    <w:rsid w:val="00F54FBA"/>
    <w:rsid w:val="00F55955"/>
    <w:rsid w:val="00F55E9A"/>
    <w:rsid w:val="00F55F64"/>
    <w:rsid w:val="00F568F3"/>
    <w:rsid w:val="00F56CD5"/>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列出段落,Lista1,?? ??,?????,????"/>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7965220">
      <w:bodyDiv w:val="1"/>
      <w:marLeft w:val="0"/>
      <w:marRight w:val="0"/>
      <w:marTop w:val="0"/>
      <w:marBottom w:val="0"/>
      <w:divBdr>
        <w:top w:val="none" w:sz="0" w:space="0" w:color="auto"/>
        <w:left w:val="none" w:sz="0" w:space="0" w:color="auto"/>
        <w:bottom w:val="none" w:sz="0" w:space="0" w:color="auto"/>
        <w:right w:val="none" w:sz="0" w:space="0" w:color="auto"/>
      </w:divBdr>
      <w:divsChild>
        <w:div w:id="1939866411">
          <w:marLeft w:val="0"/>
          <w:marRight w:val="0"/>
          <w:marTop w:val="0"/>
          <w:marBottom w:val="0"/>
          <w:divBdr>
            <w:top w:val="none" w:sz="0" w:space="0" w:color="auto"/>
            <w:left w:val="none" w:sz="0" w:space="0" w:color="auto"/>
            <w:bottom w:val="none" w:sz="0" w:space="0" w:color="auto"/>
            <w:right w:val="none" w:sz="0" w:space="0" w:color="auto"/>
          </w:divBdr>
          <w:divsChild>
            <w:div w:id="185297036">
              <w:marLeft w:val="0"/>
              <w:marRight w:val="0"/>
              <w:marTop w:val="0"/>
              <w:marBottom w:val="0"/>
              <w:divBdr>
                <w:top w:val="none" w:sz="0" w:space="0" w:color="auto"/>
                <w:left w:val="none" w:sz="0" w:space="0" w:color="auto"/>
                <w:bottom w:val="none" w:sz="0" w:space="0" w:color="auto"/>
                <w:right w:val="none" w:sz="0" w:space="0" w:color="auto"/>
              </w:divBdr>
              <w:divsChild>
                <w:div w:id="15814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07188901">
      <w:bodyDiv w:val="1"/>
      <w:marLeft w:val="0"/>
      <w:marRight w:val="0"/>
      <w:marTop w:val="0"/>
      <w:marBottom w:val="0"/>
      <w:divBdr>
        <w:top w:val="none" w:sz="0" w:space="0" w:color="auto"/>
        <w:left w:val="none" w:sz="0" w:space="0" w:color="auto"/>
        <w:bottom w:val="none" w:sz="0" w:space="0" w:color="auto"/>
        <w:right w:val="none" w:sz="0" w:space="0" w:color="auto"/>
      </w:divBdr>
      <w:divsChild>
        <w:div w:id="1188445436">
          <w:marLeft w:val="0"/>
          <w:marRight w:val="0"/>
          <w:marTop w:val="0"/>
          <w:marBottom w:val="0"/>
          <w:divBdr>
            <w:top w:val="none" w:sz="0" w:space="0" w:color="auto"/>
            <w:left w:val="none" w:sz="0" w:space="0" w:color="auto"/>
            <w:bottom w:val="none" w:sz="0" w:space="0" w:color="auto"/>
            <w:right w:val="none" w:sz="0" w:space="0" w:color="auto"/>
          </w:divBdr>
          <w:divsChild>
            <w:div w:id="1692032233">
              <w:marLeft w:val="0"/>
              <w:marRight w:val="0"/>
              <w:marTop w:val="0"/>
              <w:marBottom w:val="0"/>
              <w:divBdr>
                <w:top w:val="none" w:sz="0" w:space="0" w:color="auto"/>
                <w:left w:val="none" w:sz="0" w:space="0" w:color="auto"/>
                <w:bottom w:val="none" w:sz="0" w:space="0" w:color="auto"/>
                <w:right w:val="none" w:sz="0" w:space="0" w:color="auto"/>
              </w:divBdr>
              <w:divsChild>
                <w:div w:id="962225555">
                  <w:marLeft w:val="0"/>
                  <w:marRight w:val="0"/>
                  <w:marTop w:val="0"/>
                  <w:marBottom w:val="0"/>
                  <w:divBdr>
                    <w:top w:val="none" w:sz="0" w:space="0" w:color="auto"/>
                    <w:left w:val="none" w:sz="0" w:space="0" w:color="auto"/>
                    <w:bottom w:val="none" w:sz="0" w:space="0" w:color="auto"/>
                    <w:right w:val="none" w:sz="0" w:space="0" w:color="auto"/>
                  </w:divBdr>
                </w:div>
                <w:div w:id="1778256816">
                  <w:marLeft w:val="0"/>
                  <w:marRight w:val="0"/>
                  <w:marTop w:val="0"/>
                  <w:marBottom w:val="0"/>
                  <w:divBdr>
                    <w:top w:val="none" w:sz="0" w:space="0" w:color="auto"/>
                    <w:left w:val="none" w:sz="0" w:space="0" w:color="auto"/>
                    <w:bottom w:val="none" w:sz="0" w:space="0" w:color="auto"/>
                    <w:right w:val="none" w:sz="0" w:space="0" w:color="auto"/>
                  </w:divBdr>
                </w:div>
              </w:divsChild>
            </w:div>
            <w:div w:id="142897302">
              <w:marLeft w:val="0"/>
              <w:marRight w:val="0"/>
              <w:marTop w:val="0"/>
              <w:marBottom w:val="0"/>
              <w:divBdr>
                <w:top w:val="none" w:sz="0" w:space="0" w:color="auto"/>
                <w:left w:val="none" w:sz="0" w:space="0" w:color="auto"/>
                <w:bottom w:val="none" w:sz="0" w:space="0" w:color="auto"/>
                <w:right w:val="none" w:sz="0" w:space="0" w:color="auto"/>
              </w:divBdr>
              <w:divsChild>
                <w:div w:id="2051758801">
                  <w:marLeft w:val="0"/>
                  <w:marRight w:val="0"/>
                  <w:marTop w:val="0"/>
                  <w:marBottom w:val="0"/>
                  <w:divBdr>
                    <w:top w:val="none" w:sz="0" w:space="0" w:color="auto"/>
                    <w:left w:val="none" w:sz="0" w:space="0" w:color="auto"/>
                    <w:bottom w:val="none" w:sz="0" w:space="0" w:color="auto"/>
                    <w:right w:val="none" w:sz="0" w:space="0" w:color="auto"/>
                  </w:divBdr>
                </w:div>
                <w:div w:id="850605403">
                  <w:marLeft w:val="0"/>
                  <w:marRight w:val="0"/>
                  <w:marTop w:val="0"/>
                  <w:marBottom w:val="0"/>
                  <w:divBdr>
                    <w:top w:val="none" w:sz="0" w:space="0" w:color="auto"/>
                    <w:left w:val="none" w:sz="0" w:space="0" w:color="auto"/>
                    <w:bottom w:val="none" w:sz="0" w:space="0" w:color="auto"/>
                    <w:right w:val="none" w:sz="0" w:space="0" w:color="auto"/>
                  </w:divBdr>
                </w:div>
              </w:divsChild>
            </w:div>
            <w:div w:id="540825009">
              <w:marLeft w:val="0"/>
              <w:marRight w:val="0"/>
              <w:marTop w:val="0"/>
              <w:marBottom w:val="0"/>
              <w:divBdr>
                <w:top w:val="none" w:sz="0" w:space="0" w:color="auto"/>
                <w:left w:val="none" w:sz="0" w:space="0" w:color="auto"/>
                <w:bottom w:val="none" w:sz="0" w:space="0" w:color="auto"/>
                <w:right w:val="none" w:sz="0" w:space="0" w:color="auto"/>
              </w:divBdr>
              <w:divsChild>
                <w:div w:id="1150825026">
                  <w:marLeft w:val="0"/>
                  <w:marRight w:val="0"/>
                  <w:marTop w:val="0"/>
                  <w:marBottom w:val="0"/>
                  <w:divBdr>
                    <w:top w:val="none" w:sz="0" w:space="0" w:color="auto"/>
                    <w:left w:val="none" w:sz="0" w:space="0" w:color="auto"/>
                    <w:bottom w:val="none" w:sz="0" w:space="0" w:color="auto"/>
                    <w:right w:val="none" w:sz="0" w:space="0" w:color="auto"/>
                  </w:divBdr>
                </w:div>
              </w:divsChild>
            </w:div>
            <w:div w:id="58671047">
              <w:marLeft w:val="0"/>
              <w:marRight w:val="0"/>
              <w:marTop w:val="0"/>
              <w:marBottom w:val="0"/>
              <w:divBdr>
                <w:top w:val="none" w:sz="0" w:space="0" w:color="auto"/>
                <w:left w:val="none" w:sz="0" w:space="0" w:color="auto"/>
                <w:bottom w:val="none" w:sz="0" w:space="0" w:color="auto"/>
                <w:right w:val="none" w:sz="0" w:space="0" w:color="auto"/>
              </w:divBdr>
              <w:divsChild>
                <w:div w:id="46131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398363200">
      <w:bodyDiv w:val="1"/>
      <w:marLeft w:val="0"/>
      <w:marRight w:val="0"/>
      <w:marTop w:val="0"/>
      <w:marBottom w:val="0"/>
      <w:divBdr>
        <w:top w:val="none" w:sz="0" w:space="0" w:color="auto"/>
        <w:left w:val="none" w:sz="0" w:space="0" w:color="auto"/>
        <w:bottom w:val="none" w:sz="0" w:space="0" w:color="auto"/>
        <w:right w:val="none" w:sz="0" w:space="0" w:color="auto"/>
      </w:divBdr>
      <w:divsChild>
        <w:div w:id="2107573447">
          <w:marLeft w:val="0"/>
          <w:marRight w:val="0"/>
          <w:marTop w:val="0"/>
          <w:marBottom w:val="0"/>
          <w:divBdr>
            <w:top w:val="none" w:sz="0" w:space="0" w:color="auto"/>
            <w:left w:val="none" w:sz="0" w:space="0" w:color="auto"/>
            <w:bottom w:val="none" w:sz="0" w:space="0" w:color="auto"/>
            <w:right w:val="none" w:sz="0" w:space="0" w:color="auto"/>
          </w:divBdr>
          <w:divsChild>
            <w:div w:id="990789730">
              <w:marLeft w:val="0"/>
              <w:marRight w:val="0"/>
              <w:marTop w:val="0"/>
              <w:marBottom w:val="0"/>
              <w:divBdr>
                <w:top w:val="none" w:sz="0" w:space="0" w:color="auto"/>
                <w:left w:val="none" w:sz="0" w:space="0" w:color="auto"/>
                <w:bottom w:val="none" w:sz="0" w:space="0" w:color="auto"/>
                <w:right w:val="none" w:sz="0" w:space="0" w:color="auto"/>
              </w:divBdr>
              <w:divsChild>
                <w:div w:id="3508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2626524">
      <w:bodyDiv w:val="1"/>
      <w:marLeft w:val="0"/>
      <w:marRight w:val="0"/>
      <w:marTop w:val="0"/>
      <w:marBottom w:val="0"/>
      <w:divBdr>
        <w:top w:val="none" w:sz="0" w:space="0" w:color="auto"/>
        <w:left w:val="none" w:sz="0" w:space="0" w:color="auto"/>
        <w:bottom w:val="none" w:sz="0" w:space="0" w:color="auto"/>
        <w:right w:val="none" w:sz="0" w:space="0" w:color="auto"/>
      </w:divBdr>
      <w:divsChild>
        <w:div w:id="1063333907">
          <w:marLeft w:val="0"/>
          <w:marRight w:val="0"/>
          <w:marTop w:val="0"/>
          <w:marBottom w:val="0"/>
          <w:divBdr>
            <w:top w:val="none" w:sz="0" w:space="0" w:color="auto"/>
            <w:left w:val="none" w:sz="0" w:space="0" w:color="auto"/>
            <w:bottom w:val="none" w:sz="0" w:space="0" w:color="auto"/>
            <w:right w:val="none" w:sz="0" w:space="0" w:color="auto"/>
          </w:divBdr>
          <w:divsChild>
            <w:div w:id="1614895812">
              <w:marLeft w:val="0"/>
              <w:marRight w:val="0"/>
              <w:marTop w:val="0"/>
              <w:marBottom w:val="0"/>
              <w:divBdr>
                <w:top w:val="none" w:sz="0" w:space="0" w:color="auto"/>
                <w:left w:val="none" w:sz="0" w:space="0" w:color="auto"/>
                <w:bottom w:val="none" w:sz="0" w:space="0" w:color="auto"/>
                <w:right w:val="none" w:sz="0" w:space="0" w:color="auto"/>
              </w:divBdr>
              <w:divsChild>
                <w:div w:id="2283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A3ADF-FACA-2140-BF97-9CF69F353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225</TotalTime>
  <Pages>6</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18</cp:revision>
  <cp:lastPrinted>2008-01-31T16:09:00Z</cp:lastPrinted>
  <dcterms:created xsi:type="dcterms:W3CDTF">2018-04-06T23:09:00Z</dcterms:created>
  <dcterms:modified xsi:type="dcterms:W3CDTF">2018-09-27T21:22:00Z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